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02" w:rsidRDefault="006F5F02" w:rsidP="006F5F02">
      <w:pPr>
        <w:pStyle w:val="Heading3"/>
      </w:pPr>
      <w:bookmarkStart w:id="0" w:name="_Toc13032138"/>
      <w:bookmarkStart w:id="1" w:name="_Toc34463331"/>
      <w:bookmarkStart w:id="2" w:name="_Toc34463551"/>
      <w:bookmarkStart w:id="3" w:name="_Toc34723794"/>
      <w:bookmarkStart w:id="4" w:name="_Ref35419962"/>
      <w:bookmarkStart w:id="5" w:name="_Toc38700824"/>
      <w:r>
        <w:t>IDJI 10.04 - Issues – Products liability case – strict liability</w:t>
      </w:r>
      <w:bookmarkEnd w:id="0"/>
      <w:bookmarkEnd w:id="1"/>
      <w:bookmarkEnd w:id="2"/>
      <w:bookmarkEnd w:id="3"/>
      <w:bookmarkEnd w:id="4"/>
      <w:bookmarkEnd w:id="5"/>
    </w:p>
    <w:p w:rsidR="006F5F02" w:rsidRDefault="006F5F02" w:rsidP="006F5F02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</w:t>
      </w:r>
    </w:p>
    <w:p w:rsidR="006F5F02" w:rsidRDefault="006F5F02" w:rsidP="006F5F02">
      <w:pPr>
        <w:pStyle w:val="Instruction"/>
      </w:pPr>
      <w:r>
        <w:tab/>
        <w:t>Under the theory of strict liability, the plaintiff has the burden of proving each of the following:</w:t>
      </w:r>
    </w:p>
    <w:p w:rsidR="006F5F02" w:rsidRDefault="006F5F02" w:rsidP="006F5F02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defendant [Name] was a “product seller” with respect to the product involved in this case;</w:t>
      </w:r>
    </w:p>
    <w:p w:rsidR="006F5F02" w:rsidRDefault="006F5F02" w:rsidP="006F5F02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product was in a defective and unreasonably dangerous condition when it left the hands of the defendant;</w:t>
      </w:r>
    </w:p>
    <w:p w:rsidR="006F5F02" w:rsidRDefault="006F5F02" w:rsidP="006F5F02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defective condition was a proximate cause of injuries [damages] sustained by the plaintiff; and</w:t>
      </w:r>
    </w:p>
    <w:p w:rsidR="006F5F02" w:rsidRDefault="006F5F02" w:rsidP="006F5F02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nature and extent of the injuries, the elements of damage, and the amount thereof.</w:t>
      </w:r>
    </w:p>
    <w:p w:rsidR="006F5F02" w:rsidRDefault="006F5F02" w:rsidP="006F5F02">
      <w:r>
        <w:t>Comments:</w:t>
      </w:r>
    </w:p>
    <w:p w:rsidR="006F5F02" w:rsidRDefault="006F5F02" w:rsidP="006F5F02">
      <w:r>
        <w:tab/>
      </w:r>
      <w:proofErr w:type="gramStart"/>
      <w:r>
        <w:rPr>
          <w:u w:val="single"/>
        </w:rPr>
        <w:t xml:space="preserve">Restatement (2d) of Torts </w:t>
      </w:r>
      <w:r>
        <w:t>§402A.</w:t>
      </w:r>
      <w:proofErr w:type="gramEnd"/>
      <w:r>
        <w:t xml:space="preserve">  </w:t>
      </w:r>
      <w:r>
        <w:rPr>
          <w:u w:val="single"/>
        </w:rPr>
        <w:t>But see</w:t>
      </w:r>
      <w:r>
        <w:t xml:space="preserve"> Idaho Code §6-1405(4), which puts the burden of proving a change in condition of the product upon the defendant.</w:t>
      </w:r>
    </w:p>
    <w:p w:rsidR="006F5F02" w:rsidRDefault="006F5F02" w:rsidP="006F5F02"/>
    <w:p w:rsidR="006F5F02" w:rsidRDefault="006F5F02" w:rsidP="006F5F02">
      <w:r>
        <w:tab/>
        <w:t xml:space="preserve">This instruction is addressed specifically to actions arising under the Idaho Product Liability Reform Act, Idaho Code §§6-1401 </w:t>
      </w:r>
      <w:r>
        <w:rPr>
          <w:u w:val="single"/>
        </w:rPr>
        <w:t>et seq</w:t>
      </w:r>
      <w:r>
        <w:t>.  It may not be appropriate for use in actions arising before the effective date of that Act.  The instructions and verdict forms as a whole presume the use of either the short or long verdict forms in this section.  If a general verdict form is used, some modifications of the instruction may be necessary.</w:t>
      </w:r>
    </w:p>
    <w:p w:rsidR="007A3362" w:rsidRDefault="006F5F02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07A"/>
    <w:multiLevelType w:val="hybridMultilevel"/>
    <w:tmpl w:val="2D72EE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02"/>
    <w:rsid w:val="00544374"/>
    <w:rsid w:val="006F5F02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5F0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5F0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F5F0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F5F0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5F0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5F0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F5F0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F5F0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2011-11-02T18:37:00Z</dcterms:created>
  <dcterms:modified xsi:type="dcterms:W3CDTF">2011-11-02T18:38:00Z</dcterms:modified>
</cp:coreProperties>
</file>