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EE06D" w14:textId="4BDAA910" w:rsidR="00706814" w:rsidRDefault="003D29A5" w:rsidP="002E4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707427"/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ICJI </w:t>
      </w:r>
      <w:proofErr w:type="gramStart"/>
      <w:r w:rsidR="00505757" w:rsidRPr="00692BBA"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  <w:r w:rsidR="00501B6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0117"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Propensity</w:t>
      </w:r>
      <w:proofErr w:type="gramEnd"/>
    </w:p>
    <w:p w14:paraId="4D19C5BE" w14:textId="77777777" w:rsidR="00501B63" w:rsidRPr="00692BBA" w:rsidRDefault="00501B63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6E3CB" w14:textId="77777777" w:rsidR="00AD4FC5" w:rsidRDefault="00AD4FC5" w:rsidP="00AD4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instructed that the State has alleged the statutory aggravating circumstance that </w:t>
      </w:r>
      <w:r w:rsidRPr="00692BBA">
        <w:rPr>
          <w:rFonts w:ascii="Times New Roman" w:hAnsi="Times New Roman" w:cs="Times New Roman"/>
          <w:sz w:val="24"/>
          <w:szCs w:val="24"/>
        </w:rPr>
        <w:t>defendant, by [his] [her] conduct, whether such conduct was before, during or after the commission of the murder at hand, has exhibited a propensity to commit murder which will probably constitute a continuing threat to society.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the defendant guilty of this statutory aggravating circumstance, you must unanimously find, beyond a reasonable doubt, that the </w:t>
      </w:r>
      <w:r w:rsidRPr="00692BBA">
        <w:rPr>
          <w:rFonts w:ascii="Times New Roman" w:hAnsi="Times New Roman" w:cs="Times New Roman"/>
          <w:sz w:val="24"/>
          <w:szCs w:val="24"/>
        </w:rPr>
        <w:t>defendant, by [his] [her] conduct, whether such conduct was before, during or after the commission of the murder at hand, has exhibited a propensity to commit murder which will probably constitute a continuing threat to society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9EA09" w14:textId="77777777" w:rsidR="00AD4FC5" w:rsidRPr="00AD4FC5" w:rsidRDefault="00AD4FC5" w:rsidP="00AD4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E47908" w14:textId="3E14D247" w:rsidR="00083E05" w:rsidRPr="00692BBA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The phrase “exhibited a propensity to commit murder which will probably constitute a continuing threat to society” means conduct showing that the defendant is more likely than not to be a continuing threat to society. </w:t>
      </w:r>
      <w:r w:rsidR="00C401A1" w:rsidRPr="00692BBA">
        <w:rPr>
          <w:rFonts w:ascii="Times New Roman" w:hAnsi="Times New Roman" w:cs="Times New Roman"/>
          <w:sz w:val="24"/>
          <w:szCs w:val="24"/>
        </w:rPr>
        <w:t xml:space="preserve">You may consider conduct that occurred before, during, or after the commission of the murder you have already found the defendant </w:t>
      </w:r>
      <w:proofErr w:type="gramStart"/>
      <w:r w:rsidR="00C401A1" w:rsidRPr="00692BBA">
        <w:rPr>
          <w:rFonts w:ascii="Times New Roman" w:hAnsi="Times New Roman" w:cs="Times New Roman"/>
          <w:sz w:val="24"/>
          <w:szCs w:val="24"/>
        </w:rPr>
        <w:t>guilty</w:t>
      </w:r>
      <w:r w:rsidR="00161BC1">
        <w:rPr>
          <w:rFonts w:ascii="Times New Roman" w:hAnsi="Times New Roman" w:cs="Times New Roman"/>
          <w:sz w:val="24"/>
          <w:szCs w:val="24"/>
        </w:rPr>
        <w:t xml:space="preserve"> </w:t>
      </w:r>
      <w:r w:rsidR="00C401A1" w:rsidRPr="00692BB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401A1" w:rsidRPr="00692BBA">
        <w:rPr>
          <w:rFonts w:ascii="Times New Roman" w:hAnsi="Times New Roman" w:cs="Times New Roman"/>
          <w:sz w:val="24"/>
          <w:szCs w:val="24"/>
        </w:rPr>
        <w:t xml:space="preserve"> in this case. However, a finding that the defendant has a propensity to commit murder which will probably constitute a continuing threat to society </w:t>
      </w:r>
      <w:r w:rsidRPr="00692BBA">
        <w:rPr>
          <w:rFonts w:ascii="Times New Roman" w:hAnsi="Times New Roman" w:cs="Times New Roman"/>
          <w:sz w:val="24"/>
          <w:szCs w:val="24"/>
        </w:rPr>
        <w:t xml:space="preserve">cannot be based solely upon the fact that you found the defendant guilty of murder. 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a person to have a propensity to commit murder, the person must be a willing, predisposed killer, a killer who tends toward destroying the life of another, one who kills with less than the normal amount of provocation. Propensity requires a proclivity, a susceptibility, and even an affinity toward committing the act of murder.</w:t>
      </w:r>
    </w:p>
    <w:p w14:paraId="22E9F71F" w14:textId="77777777" w:rsidR="008B71A1" w:rsidRDefault="008B71A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041407" w14:textId="7F48B65B" w:rsidR="00083E05" w:rsidRPr="00692BBA" w:rsidRDefault="00083E05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66BAF835" w14:textId="77777777" w:rsidR="008B71A1" w:rsidRDefault="008B71A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812E93" w14:textId="1A3458CA" w:rsidR="00083E05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This instruction should be given when the State alleges </w:t>
      </w:r>
      <w:r w:rsidR="005C206C" w:rsidRPr="00161BC1">
        <w:rPr>
          <w:rFonts w:ascii="Times New Roman" w:hAnsi="Times New Roman" w:cs="Times New Roman"/>
          <w:sz w:val="24"/>
          <w:szCs w:val="24"/>
        </w:rPr>
        <w:t>the pr</w:t>
      </w:r>
      <w:r w:rsidR="00161BC1" w:rsidRPr="00161BC1">
        <w:rPr>
          <w:rFonts w:ascii="Times New Roman" w:hAnsi="Times New Roman" w:cs="Times New Roman"/>
          <w:sz w:val="24"/>
          <w:szCs w:val="24"/>
        </w:rPr>
        <w:t>o</w:t>
      </w:r>
      <w:r w:rsidR="005C206C" w:rsidRPr="00161BC1">
        <w:rPr>
          <w:rFonts w:ascii="Times New Roman" w:hAnsi="Times New Roman" w:cs="Times New Roman"/>
          <w:sz w:val="24"/>
          <w:szCs w:val="24"/>
        </w:rPr>
        <w:t xml:space="preserve">pensity statutory aggravator set forth in </w:t>
      </w:r>
      <w:r w:rsidRPr="00692BBA">
        <w:rPr>
          <w:rFonts w:ascii="Times New Roman" w:hAnsi="Times New Roman" w:cs="Times New Roman"/>
          <w:sz w:val="24"/>
          <w:szCs w:val="24"/>
        </w:rPr>
        <w:t>I.C. § 19-2515(9)(</w:t>
      </w:r>
      <w:proofErr w:type="spellStart"/>
      <w:r w:rsidRPr="00692B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BBA">
        <w:rPr>
          <w:rFonts w:ascii="Times New Roman" w:hAnsi="Times New Roman" w:cs="Times New Roman"/>
          <w:sz w:val="24"/>
          <w:szCs w:val="24"/>
        </w:rPr>
        <w:t>).</w:t>
      </w:r>
      <w:r w:rsidR="0031152C" w:rsidRPr="00692BBA">
        <w:rPr>
          <w:rFonts w:ascii="Times New Roman" w:hAnsi="Times New Roman" w:cs="Times New Roman"/>
          <w:sz w:val="24"/>
          <w:szCs w:val="24"/>
        </w:rPr>
        <w:t xml:space="preserve"> The conduct supporting a propensity to commit murder does not require a conviction </w:t>
      </w:r>
      <w:proofErr w:type="gramStart"/>
      <w:r w:rsidR="0031152C" w:rsidRPr="00692BBA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="0031152C" w:rsidRPr="00692BBA">
        <w:rPr>
          <w:rFonts w:ascii="Times New Roman" w:hAnsi="Times New Roman" w:cs="Times New Roman"/>
          <w:sz w:val="24"/>
          <w:szCs w:val="24"/>
        </w:rPr>
        <w:t xml:space="preserve"> a jury to consider it under this statutory aggravating circumstance. </w:t>
      </w:r>
      <w:r w:rsidR="00B63EDA">
        <w:rPr>
          <w:rFonts w:ascii="Times New Roman" w:hAnsi="Times New Roman" w:cs="Times New Roman"/>
          <w:sz w:val="24"/>
          <w:szCs w:val="24"/>
        </w:rPr>
        <w:t>Use the applicable bracketed language.</w:t>
      </w:r>
    </w:p>
    <w:p w14:paraId="30CFBBB8" w14:textId="77777777" w:rsidR="008B71A1" w:rsidRPr="00692BBA" w:rsidRDefault="008B71A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C61CBC" w14:textId="05FEC61F" w:rsidR="003F22DD" w:rsidRPr="00692BBA" w:rsidRDefault="00083E05" w:rsidP="00F80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i/>
          <w:iCs/>
          <w:sz w:val="24"/>
          <w:szCs w:val="24"/>
        </w:rPr>
        <w:t>Dunlap v. State</w:t>
      </w:r>
      <w:r w:rsidRPr="00692BBA">
        <w:rPr>
          <w:rFonts w:ascii="Times New Roman" w:hAnsi="Times New Roman" w:cs="Times New Roman"/>
          <w:sz w:val="24"/>
          <w:szCs w:val="24"/>
        </w:rPr>
        <w:t>, 159 Idaho 280, 360 P.3d 289 (2015);</w:t>
      </w:r>
      <w:r w:rsidRPr="00692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State v. Dunlap</w:t>
      </w:r>
      <w:r w:rsidRPr="00692BBA">
        <w:rPr>
          <w:rFonts w:ascii="Times New Roman" w:hAnsi="Times New Roman" w:cs="Times New Roman"/>
          <w:sz w:val="24"/>
          <w:szCs w:val="24"/>
        </w:rPr>
        <w:t xml:space="preserve">, 125 Idaho 530, 873 P.2d 784 (1993);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State v. Creech</w:t>
      </w:r>
      <w:r w:rsidRPr="00692BBA">
        <w:rPr>
          <w:rFonts w:ascii="Times New Roman" w:hAnsi="Times New Roman" w:cs="Times New Roman"/>
          <w:sz w:val="24"/>
          <w:szCs w:val="24"/>
        </w:rPr>
        <w:t>, 105 Idaho 362, 670 P.2d 463 (1983).</w:t>
      </w:r>
      <w:bookmarkStart w:id="1" w:name="_Hlk162707706"/>
      <w:bookmarkEnd w:id="0"/>
    </w:p>
    <w:bookmarkEnd w:id="1"/>
    <w:p w14:paraId="2F491CB5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46517" w14:textId="77777777" w:rsidR="001C2BCB" w:rsidRDefault="001C2BCB" w:rsidP="00222286">
      <w:pPr>
        <w:spacing w:after="0" w:line="240" w:lineRule="auto"/>
      </w:pPr>
      <w:r>
        <w:separator/>
      </w:r>
    </w:p>
  </w:endnote>
  <w:endnote w:type="continuationSeparator" w:id="0">
    <w:p w14:paraId="3BC8C1A1" w14:textId="77777777" w:rsidR="001C2BCB" w:rsidRDefault="001C2BCB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CEF92" w14:textId="359E3B98" w:rsidR="00EE4CDE" w:rsidRPr="00EE4CDE" w:rsidRDefault="00EE4CDE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33EA12B5" w14:textId="77777777" w:rsidR="00EE4CDE" w:rsidRDefault="00EE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12F32" w14:textId="77777777" w:rsidR="001C2BCB" w:rsidRDefault="001C2BCB" w:rsidP="00222286">
      <w:pPr>
        <w:spacing w:after="0" w:line="240" w:lineRule="auto"/>
      </w:pPr>
      <w:r>
        <w:separator/>
      </w:r>
    </w:p>
  </w:footnote>
  <w:footnote w:type="continuationSeparator" w:id="0">
    <w:p w14:paraId="5C9AF92D" w14:textId="77777777" w:rsidR="001C2BCB" w:rsidRDefault="001C2BCB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2BCB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2A72"/>
    <w:rsid w:val="006D7A2B"/>
    <w:rsid w:val="006E3CC8"/>
    <w:rsid w:val="00706814"/>
    <w:rsid w:val="0073672F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E4CDE"/>
    <w:rsid w:val="00EF05C9"/>
    <w:rsid w:val="00EF54B7"/>
    <w:rsid w:val="00F27A2C"/>
    <w:rsid w:val="00F3100A"/>
    <w:rsid w:val="00F5434A"/>
    <w:rsid w:val="00F62821"/>
    <w:rsid w:val="00F649DA"/>
    <w:rsid w:val="00F776FB"/>
    <w:rsid w:val="00F808D7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