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1EFA" w14:textId="15BBAC10" w:rsidR="00DD562A" w:rsidRDefault="00DD562A" w:rsidP="002E4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>ICJI 171</w:t>
      </w:r>
      <w:r w:rsidR="003D29A5"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>4 Utter Disregard for Human Life</w:t>
      </w:r>
    </w:p>
    <w:p w14:paraId="23ADBADF" w14:textId="77777777" w:rsidR="00B63332" w:rsidRPr="00692BBA" w:rsidRDefault="00B6333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A5A88A" w14:textId="66CBCF6B" w:rsidR="00AD4FC5" w:rsidRPr="000C3C57" w:rsidRDefault="00AD4FC5" w:rsidP="000C3C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707401"/>
      <w:r>
        <w:rPr>
          <w:rFonts w:ascii="Times New Roman" w:hAnsi="Times New Roman" w:cs="Times New Roman"/>
          <w:sz w:val="24"/>
          <w:szCs w:val="24"/>
        </w:rPr>
        <w:t>You have been instructed that the State has alleged the statutory aggravating circumstance that</w:t>
      </w:r>
      <w:r w:rsidR="000C3C57">
        <w:rPr>
          <w:rFonts w:ascii="Times New Roman" w:hAnsi="Times New Roman" w:cs="Times New Roman"/>
          <w:sz w:val="24"/>
          <w:szCs w:val="24"/>
        </w:rPr>
        <w:t xml:space="preserve"> b</w:t>
      </w:r>
      <w:r w:rsidR="000C3C57" w:rsidRPr="00692BBA">
        <w:rPr>
          <w:rFonts w:ascii="Times New Roman" w:hAnsi="Times New Roman" w:cs="Times New Roman"/>
          <w:sz w:val="24"/>
          <w:szCs w:val="24"/>
        </w:rPr>
        <w:t xml:space="preserve">y the murder, or circumstances surrounding its commission, the defendant exhibited utter disregard for human life.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the defendant guilty of this statutory aggravating circumstance, you must unanimously find, beyond a reasonable doubt, that </w:t>
      </w:r>
      <w:r w:rsidR="000C3C57">
        <w:rPr>
          <w:rFonts w:ascii="Times New Roman" w:hAnsi="Times New Roman" w:cs="Times New Roman"/>
          <w:sz w:val="24"/>
          <w:szCs w:val="24"/>
        </w:rPr>
        <w:t>b</w:t>
      </w:r>
      <w:r w:rsidR="000C3C57" w:rsidRPr="00692BBA">
        <w:rPr>
          <w:rFonts w:ascii="Times New Roman" w:hAnsi="Times New Roman" w:cs="Times New Roman"/>
          <w:sz w:val="24"/>
          <w:szCs w:val="24"/>
        </w:rPr>
        <w:t xml:space="preserve">y the murder, or circumstances surrounding its commission, the defendant exhibited utter disregard for human life.  </w:t>
      </w:r>
    </w:p>
    <w:p w14:paraId="5CE8345B" w14:textId="77777777" w:rsidR="000C3C57" w:rsidRDefault="000C3C57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D7164A" w14:textId="2B8D0AE8" w:rsidR="00083E05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“Exhibited utter disregard for human life,” 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the murder or the circumstances surrounding its commission, refers to acts or circumstances surrounding the crime that exhibit the highest, the utmost, callous disregard for human life, i.e., the cold-blooded, pitiless slayer. “Cold-blooded” means marked by absence of warm feeling: without consideration, compunction, or clemency, matter of fact, or emotionless. “Pitiless” means devoid of or unmoved by mercy or compassion. A “cold-blooded, pitiless slayer” refers to a slayer who kills without feeling or sympathy. The utter disregard factor refers to the defendant’s lack of conscience regarding killing another human being.</w:t>
      </w:r>
    </w:p>
    <w:p w14:paraId="3AF2AA52" w14:textId="77777777" w:rsidR="00B63332" w:rsidRPr="00692BBA" w:rsidRDefault="00B6333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7EFAEF" w14:textId="1CFEAE74" w:rsidR="00083E05" w:rsidRDefault="00083E05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7306B43A" w14:textId="77777777" w:rsidR="00B63332" w:rsidRPr="00692BBA" w:rsidRDefault="00B6333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6D8BCD" w14:textId="15230946" w:rsidR="00083E05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This instruction should be given when the State alleges </w:t>
      </w:r>
      <w:r w:rsidR="00EF05C9" w:rsidRPr="00161BC1">
        <w:rPr>
          <w:rFonts w:ascii="Times New Roman" w:hAnsi="Times New Roman" w:cs="Times New Roman"/>
          <w:sz w:val="24"/>
          <w:szCs w:val="24"/>
        </w:rPr>
        <w:t xml:space="preserve">the utter disregard statutory </w:t>
      </w:r>
      <w:r w:rsidR="002766DF" w:rsidRPr="00161BC1">
        <w:rPr>
          <w:rFonts w:ascii="Times New Roman" w:hAnsi="Times New Roman" w:cs="Times New Roman"/>
          <w:sz w:val="24"/>
          <w:szCs w:val="24"/>
        </w:rPr>
        <w:t xml:space="preserve">aggravator set forth in </w:t>
      </w:r>
      <w:r w:rsidRPr="00692BBA">
        <w:rPr>
          <w:rFonts w:ascii="Times New Roman" w:hAnsi="Times New Roman" w:cs="Times New Roman"/>
          <w:sz w:val="24"/>
          <w:szCs w:val="24"/>
        </w:rPr>
        <w:t>I.C. § 19-2515(9)(f).</w:t>
      </w:r>
    </w:p>
    <w:p w14:paraId="3A5D250E" w14:textId="77777777" w:rsidR="00B63332" w:rsidRPr="00692BBA" w:rsidRDefault="00B6333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98FD4F" w14:textId="77777777" w:rsidR="00083E05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BC1">
        <w:rPr>
          <w:rFonts w:ascii="Times New Roman" w:hAnsi="Times New Roman" w:cs="Times New Roman"/>
          <w:i/>
          <w:iCs/>
          <w:sz w:val="24"/>
          <w:szCs w:val="24"/>
        </w:rPr>
        <w:t>State v. Abdullah</w:t>
      </w:r>
      <w:r w:rsidRPr="00161BC1">
        <w:rPr>
          <w:rFonts w:ascii="Times New Roman" w:hAnsi="Times New Roman" w:cs="Times New Roman"/>
          <w:sz w:val="24"/>
          <w:szCs w:val="24"/>
        </w:rPr>
        <w:t xml:space="preserve">, 158 Idaho 386, 463, 348 P.3d 1, 78 (2014);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State v. Dunlap</w:t>
      </w:r>
      <w:r w:rsidRPr="00161BC1">
        <w:rPr>
          <w:rFonts w:ascii="Times New Roman" w:hAnsi="Times New Roman" w:cs="Times New Roman"/>
          <w:sz w:val="24"/>
          <w:szCs w:val="24"/>
        </w:rPr>
        <w:t xml:space="preserve">, 155 Idaho 345, 378, 312 P.3d 1, 34 (2012);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Arave v. Creech</w:t>
      </w:r>
      <w:r w:rsidRPr="00692BBA">
        <w:rPr>
          <w:rFonts w:ascii="Times New Roman" w:hAnsi="Times New Roman" w:cs="Times New Roman"/>
          <w:sz w:val="24"/>
          <w:szCs w:val="24"/>
        </w:rPr>
        <w:t xml:space="preserve">, 507 U.S. 463. 113 S. Ct. 1534, 123 L. Ed. 2d 188 (1993);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State v. Osborn</w:t>
      </w:r>
      <w:r w:rsidRPr="00692BBA">
        <w:rPr>
          <w:rFonts w:ascii="Times New Roman" w:hAnsi="Times New Roman" w:cs="Times New Roman"/>
          <w:sz w:val="24"/>
          <w:szCs w:val="24"/>
        </w:rPr>
        <w:t>, 102 Idaho 405, 418-19, 613 P.2d 187, 200-01 (1981).</w:t>
      </w:r>
      <w:bookmarkEnd w:id="0"/>
    </w:p>
    <w:sectPr w:rsidR="00083E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581F0" w14:textId="77777777" w:rsidR="00331C9A" w:rsidRDefault="00331C9A" w:rsidP="00222286">
      <w:pPr>
        <w:spacing w:after="0" w:line="240" w:lineRule="auto"/>
      </w:pPr>
      <w:r>
        <w:separator/>
      </w:r>
    </w:p>
  </w:endnote>
  <w:endnote w:type="continuationSeparator" w:id="0">
    <w:p w14:paraId="177F8CA5" w14:textId="77777777" w:rsidR="00331C9A" w:rsidRDefault="00331C9A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CD52" w14:textId="5A544E5C" w:rsidR="00791EA9" w:rsidRPr="00791EA9" w:rsidRDefault="00791EA9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02E4F34B" w14:textId="77777777" w:rsidR="00791EA9" w:rsidRDefault="00791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3C44" w14:textId="77777777" w:rsidR="00331C9A" w:rsidRDefault="00331C9A" w:rsidP="00222286">
      <w:pPr>
        <w:spacing w:after="0" w:line="240" w:lineRule="auto"/>
      </w:pPr>
      <w:r>
        <w:separator/>
      </w:r>
    </w:p>
  </w:footnote>
  <w:footnote w:type="continuationSeparator" w:id="0">
    <w:p w14:paraId="23EE2712" w14:textId="77777777" w:rsidR="00331C9A" w:rsidRDefault="00331C9A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1C9A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1786D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91EA9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5940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27BF0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