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994BC" w14:textId="77777777" w:rsidR="009E22B6" w:rsidRPr="00930055" w:rsidRDefault="009E22B6" w:rsidP="009E22B6">
      <w:pPr>
        <w:spacing w:after="0" w:line="240" w:lineRule="auto"/>
        <w:jc w:val="center"/>
        <w:rPr>
          <w:rFonts w:ascii="Times New Roman" w:hAnsi="Times New Roman" w:cs="Times New Roman"/>
          <w:b/>
          <w:bCs/>
          <w:sz w:val="24"/>
          <w:szCs w:val="24"/>
          <w:u w:val="single"/>
        </w:rPr>
      </w:pPr>
      <w:r w:rsidRPr="00930055">
        <w:rPr>
          <w:rFonts w:ascii="Times New Roman" w:hAnsi="Times New Roman" w:cs="Times New Roman"/>
          <w:b/>
          <w:bCs/>
          <w:sz w:val="24"/>
          <w:szCs w:val="24"/>
          <w:u w:val="single"/>
        </w:rPr>
        <w:t>INSTRUCTION BEFORE ANY VICTIM STATEMENT</w:t>
      </w:r>
    </w:p>
    <w:p w14:paraId="79FBD4EC" w14:textId="77777777" w:rsidR="009E22B6" w:rsidRPr="00692BBA" w:rsidRDefault="009E22B6" w:rsidP="009E22B6">
      <w:pPr>
        <w:spacing w:after="0" w:line="240" w:lineRule="auto"/>
        <w:ind w:firstLine="720"/>
        <w:jc w:val="both"/>
        <w:rPr>
          <w:rFonts w:ascii="Times New Roman" w:hAnsi="Times New Roman" w:cs="Times New Roman"/>
          <w:sz w:val="24"/>
          <w:szCs w:val="24"/>
        </w:rPr>
      </w:pPr>
    </w:p>
    <w:p w14:paraId="4D245FD7" w14:textId="5571236A" w:rsidR="009E22B6" w:rsidRPr="00692BBA" w:rsidRDefault="009E22B6" w:rsidP="009E22B6">
      <w:pPr>
        <w:spacing w:after="0" w:line="240" w:lineRule="auto"/>
        <w:jc w:val="both"/>
        <w:rPr>
          <w:rFonts w:ascii="Times New Roman" w:hAnsi="Times New Roman" w:cs="Times New Roman"/>
          <w:b/>
          <w:color w:val="000000"/>
          <w:sz w:val="24"/>
          <w:szCs w:val="24"/>
          <w:u w:val="single"/>
        </w:rPr>
      </w:pPr>
      <w:bookmarkStart w:id="0" w:name="_Hlk162707293"/>
      <w:r w:rsidRPr="00692BBA">
        <w:rPr>
          <w:rFonts w:ascii="Times New Roman" w:hAnsi="Times New Roman" w:cs="Times New Roman"/>
          <w:b/>
          <w:color w:val="000000"/>
          <w:sz w:val="24"/>
          <w:szCs w:val="24"/>
          <w:u w:val="single"/>
        </w:rPr>
        <w:t>ICJI 170</w:t>
      </w:r>
      <w:r>
        <w:rPr>
          <w:rFonts w:ascii="Times New Roman" w:hAnsi="Times New Roman" w:cs="Times New Roman"/>
          <w:b/>
          <w:color w:val="000000"/>
          <w:sz w:val="24"/>
          <w:szCs w:val="24"/>
          <w:u w:val="single"/>
        </w:rPr>
        <w:t>4</w:t>
      </w:r>
      <w:r w:rsidRPr="00692BBA">
        <w:rPr>
          <w:rFonts w:ascii="Times New Roman" w:hAnsi="Times New Roman" w:cs="Times New Roman"/>
          <w:b/>
          <w:color w:val="000000"/>
          <w:sz w:val="24"/>
          <w:szCs w:val="24"/>
          <w:u w:val="single"/>
        </w:rPr>
        <w:t xml:space="preserve"> Victim Impact Statement</w:t>
      </w:r>
    </w:p>
    <w:p w14:paraId="077D898F" w14:textId="77777777" w:rsidR="009E22B6" w:rsidRPr="00692BBA" w:rsidRDefault="009E22B6" w:rsidP="009E22B6">
      <w:pPr>
        <w:spacing w:after="0" w:line="240" w:lineRule="auto"/>
        <w:ind w:firstLine="720"/>
        <w:jc w:val="both"/>
        <w:rPr>
          <w:rFonts w:ascii="Times New Roman" w:hAnsi="Times New Roman" w:cs="Times New Roman"/>
          <w:sz w:val="24"/>
          <w:szCs w:val="24"/>
        </w:rPr>
      </w:pPr>
    </w:p>
    <w:p w14:paraId="7612ED3E" w14:textId="77777777" w:rsidR="009E22B6" w:rsidRPr="00692BBA" w:rsidRDefault="009E22B6" w:rsidP="009E22B6">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Victims have the right to personally address you by making a victim impact statement, which is a statement concerning the victim’s personal characteristics and the emotional impact of the murder. A victim impact statement is not made under oath and is not subject to cross-examination. A victim may not make any statements that are characterizations or opinions about the crime, the defendant, or the appropriate sentence, and you should disregard any such comments. You may otherwise consider victim impact statements in your deliberations.</w:t>
      </w:r>
    </w:p>
    <w:p w14:paraId="4F244980" w14:textId="77777777" w:rsidR="009E22B6" w:rsidRPr="00692BBA" w:rsidRDefault="009E22B6" w:rsidP="009E22B6">
      <w:pPr>
        <w:spacing w:after="0" w:line="240" w:lineRule="auto"/>
        <w:ind w:firstLine="720"/>
        <w:jc w:val="both"/>
        <w:rPr>
          <w:rFonts w:ascii="Times New Roman" w:hAnsi="Times New Roman" w:cs="Times New Roman"/>
          <w:sz w:val="24"/>
          <w:szCs w:val="24"/>
        </w:rPr>
      </w:pPr>
    </w:p>
    <w:p w14:paraId="3E249595" w14:textId="77777777" w:rsidR="009E22B6" w:rsidRPr="00692BBA" w:rsidRDefault="009E22B6" w:rsidP="009E22B6">
      <w:pPr>
        <w:spacing w:after="0" w:line="240" w:lineRule="auto"/>
        <w:ind w:firstLine="720"/>
        <w:jc w:val="both"/>
        <w:rPr>
          <w:rFonts w:ascii="Times New Roman" w:hAnsi="Times New Roman" w:cs="Times New Roman"/>
          <w:sz w:val="24"/>
          <w:szCs w:val="24"/>
        </w:rPr>
      </w:pPr>
    </w:p>
    <w:p w14:paraId="1C8B460E" w14:textId="77777777" w:rsidR="009E22B6" w:rsidRPr="00692BBA" w:rsidRDefault="009E22B6" w:rsidP="009E22B6">
      <w:pPr>
        <w:spacing w:after="0" w:line="240" w:lineRule="auto"/>
        <w:jc w:val="center"/>
        <w:rPr>
          <w:rFonts w:ascii="Times New Roman" w:hAnsi="Times New Roman" w:cs="Times New Roman"/>
          <w:bCs/>
          <w:color w:val="000000"/>
          <w:sz w:val="24"/>
          <w:szCs w:val="24"/>
          <w:u w:val="single"/>
        </w:rPr>
      </w:pPr>
      <w:r w:rsidRPr="00692BBA">
        <w:rPr>
          <w:rFonts w:ascii="Times New Roman" w:hAnsi="Times New Roman" w:cs="Times New Roman"/>
          <w:bCs/>
          <w:color w:val="000000"/>
          <w:sz w:val="24"/>
          <w:szCs w:val="24"/>
          <w:u w:val="single"/>
        </w:rPr>
        <w:t>Comment</w:t>
      </w:r>
    </w:p>
    <w:p w14:paraId="260B4128" w14:textId="77777777" w:rsidR="009E22B6" w:rsidRPr="00692BBA" w:rsidRDefault="009E22B6" w:rsidP="009E22B6">
      <w:pPr>
        <w:spacing w:after="0" w:line="240" w:lineRule="auto"/>
        <w:ind w:firstLine="720"/>
        <w:jc w:val="both"/>
        <w:rPr>
          <w:rFonts w:ascii="Times New Roman" w:hAnsi="Times New Roman" w:cs="Times New Roman"/>
          <w:bCs/>
          <w:color w:val="000000"/>
          <w:sz w:val="24"/>
          <w:szCs w:val="24"/>
          <w:u w:val="single"/>
        </w:rPr>
      </w:pPr>
    </w:p>
    <w:p w14:paraId="18CF6C9B" w14:textId="70686F86" w:rsidR="009E22B6" w:rsidRPr="00692BBA" w:rsidRDefault="009E22B6" w:rsidP="009E22B6">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i/>
          <w:iCs/>
          <w:sz w:val="24"/>
          <w:szCs w:val="24"/>
        </w:rPr>
        <w:t>State v. Lovelace</w:t>
      </w:r>
      <w:r w:rsidRPr="00692BBA">
        <w:rPr>
          <w:rFonts w:ascii="Times New Roman" w:hAnsi="Times New Roman" w:cs="Times New Roman"/>
          <w:sz w:val="24"/>
          <w:szCs w:val="24"/>
        </w:rPr>
        <w:t xml:space="preserve">, 140 Idaho 53, 90 P.3d 278 (2003), IDAHO CONST. art. I, § 22(6); I.C. § 19-2515(5)(a); </w:t>
      </w:r>
      <w:r w:rsidRPr="00692BBA">
        <w:rPr>
          <w:rFonts w:ascii="Times New Roman" w:hAnsi="Times New Roman" w:cs="Times New Roman"/>
          <w:i/>
          <w:iCs/>
          <w:sz w:val="24"/>
          <w:szCs w:val="24"/>
        </w:rPr>
        <w:t>State v. Hall</w:t>
      </w:r>
      <w:r w:rsidRPr="00692BBA">
        <w:rPr>
          <w:rFonts w:ascii="Times New Roman" w:hAnsi="Times New Roman" w:cs="Times New Roman"/>
          <w:sz w:val="24"/>
          <w:szCs w:val="24"/>
        </w:rPr>
        <w:t>, 163 Idaho 744, 829, 419 P.3d 1042, 1127 (2018).</w:t>
      </w:r>
    </w:p>
    <w:p w14:paraId="68863E50" w14:textId="77777777" w:rsidR="009E22B6" w:rsidRPr="00692BBA" w:rsidRDefault="009E22B6" w:rsidP="009E22B6">
      <w:pPr>
        <w:spacing w:after="0" w:line="240" w:lineRule="auto"/>
        <w:ind w:firstLine="720"/>
        <w:jc w:val="both"/>
        <w:rPr>
          <w:rFonts w:ascii="Times New Roman" w:hAnsi="Times New Roman" w:cs="Times New Roman"/>
          <w:sz w:val="24"/>
          <w:szCs w:val="24"/>
        </w:rPr>
      </w:pPr>
    </w:p>
    <w:p w14:paraId="01117243" w14:textId="77777777" w:rsidR="009E22B6" w:rsidRPr="00692BBA" w:rsidRDefault="009E22B6" w:rsidP="009E22B6">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This instruction should be given only if victim impact statements are made, and it should be given immediately before those statements. </w:t>
      </w:r>
    </w:p>
    <w:p w14:paraId="155916BC" w14:textId="77777777" w:rsidR="009E22B6" w:rsidRPr="00692BBA" w:rsidRDefault="009E22B6" w:rsidP="009E22B6">
      <w:pPr>
        <w:spacing w:after="0" w:line="240" w:lineRule="auto"/>
        <w:ind w:firstLine="720"/>
        <w:jc w:val="both"/>
        <w:rPr>
          <w:rFonts w:ascii="Times New Roman" w:hAnsi="Times New Roman" w:cs="Times New Roman"/>
          <w:sz w:val="24"/>
          <w:szCs w:val="24"/>
        </w:rPr>
      </w:pPr>
    </w:p>
    <w:p w14:paraId="2F491CB5" w14:textId="1DFD31F3" w:rsidR="003F22DD" w:rsidRPr="00692BBA" w:rsidRDefault="009E22B6"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The court may modify this instruction by substituting for the word “victims” the names of those who will be making victim impact statements.</w:t>
      </w:r>
      <w:bookmarkEnd w:id="0"/>
    </w:p>
    <w:sectPr w:rsidR="003F22DD" w:rsidRPr="00692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B2905" w14:textId="77777777" w:rsidR="003759E8" w:rsidRDefault="003759E8" w:rsidP="00222286">
      <w:pPr>
        <w:spacing w:after="0" w:line="240" w:lineRule="auto"/>
      </w:pPr>
      <w:r>
        <w:separator/>
      </w:r>
    </w:p>
  </w:endnote>
  <w:endnote w:type="continuationSeparator" w:id="0">
    <w:p w14:paraId="30918369" w14:textId="77777777" w:rsidR="003759E8" w:rsidRDefault="003759E8"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0D117" w14:textId="4D082BEC" w:rsidR="00D26BE3" w:rsidRPr="00D26BE3" w:rsidRDefault="00D26BE3">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43B2578F" w14:textId="77777777" w:rsidR="00D26BE3" w:rsidRDefault="00D2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8F1A7" w14:textId="77777777" w:rsidR="003759E8" w:rsidRDefault="003759E8" w:rsidP="00222286">
      <w:pPr>
        <w:spacing w:after="0" w:line="240" w:lineRule="auto"/>
      </w:pPr>
      <w:r>
        <w:separator/>
      </w:r>
    </w:p>
  </w:footnote>
  <w:footnote w:type="continuationSeparator" w:id="0">
    <w:p w14:paraId="104E16B3" w14:textId="77777777" w:rsidR="003759E8" w:rsidRDefault="003759E8"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879DC"/>
    <w:rsid w:val="002C2F31"/>
    <w:rsid w:val="002C61C0"/>
    <w:rsid w:val="002E4F8F"/>
    <w:rsid w:val="002F3772"/>
    <w:rsid w:val="0030342A"/>
    <w:rsid w:val="0030446F"/>
    <w:rsid w:val="0031152C"/>
    <w:rsid w:val="003165E6"/>
    <w:rsid w:val="0032027A"/>
    <w:rsid w:val="0033623F"/>
    <w:rsid w:val="0034253C"/>
    <w:rsid w:val="003502EB"/>
    <w:rsid w:val="0035259B"/>
    <w:rsid w:val="00375548"/>
    <w:rsid w:val="003759E8"/>
    <w:rsid w:val="00387A81"/>
    <w:rsid w:val="003A6874"/>
    <w:rsid w:val="003C227E"/>
    <w:rsid w:val="003D29A5"/>
    <w:rsid w:val="003F22DD"/>
    <w:rsid w:val="003F3B56"/>
    <w:rsid w:val="0042326D"/>
    <w:rsid w:val="0042386C"/>
    <w:rsid w:val="004D587C"/>
    <w:rsid w:val="004E3B78"/>
    <w:rsid w:val="004E45C2"/>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91353"/>
    <w:rsid w:val="007A1734"/>
    <w:rsid w:val="007B6EF8"/>
    <w:rsid w:val="007F0117"/>
    <w:rsid w:val="008126D1"/>
    <w:rsid w:val="008228FF"/>
    <w:rsid w:val="0082405E"/>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26BE3"/>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27A2C"/>
    <w:rsid w:val="00F3100A"/>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