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45" w:rsidRPr="00051D80" w:rsidRDefault="00EC1C45" w:rsidP="00051D80">
      <w:pPr>
        <w:rPr>
          <w:rFonts w:ascii="Arial" w:hAnsi="Arial" w:cs="Arial"/>
          <w:b/>
          <w:sz w:val="22"/>
        </w:rPr>
      </w:pPr>
      <w:r w:rsidRPr="00051D80">
        <w:rPr>
          <w:rFonts w:ascii="Arial" w:hAnsi="Arial" w:cs="Arial"/>
          <w:b/>
          <w:sz w:val="22"/>
        </w:rPr>
        <w:t>NOTICE OF EXEMPTIONS</w:t>
      </w:r>
    </w:p>
    <w:p w:rsidR="00661359" w:rsidRDefault="002608BD" w:rsidP="00051D80">
      <w:pPr>
        <w:rPr>
          <w:rFonts w:ascii="Arial" w:hAnsi="Arial" w:cs="Arial"/>
          <w:b/>
          <w:sz w:val="22"/>
        </w:rPr>
      </w:pPr>
      <w:r w:rsidRPr="00051D80">
        <w:rPr>
          <w:rFonts w:ascii="Arial" w:hAnsi="Arial" w:cs="Arial"/>
          <w:b/>
          <w:sz w:val="22"/>
        </w:rPr>
        <w:t xml:space="preserve">IMPORTANT LEGAL NOTICE / </w:t>
      </w:r>
      <w:r w:rsidR="008F36D5" w:rsidRPr="00051D80">
        <w:rPr>
          <w:rFonts w:ascii="Arial" w:hAnsi="Arial" w:cs="Arial"/>
          <w:b/>
          <w:sz w:val="22"/>
        </w:rPr>
        <w:t xml:space="preserve">AVISO </w:t>
      </w:r>
      <w:r w:rsidRPr="00051D80">
        <w:rPr>
          <w:rFonts w:ascii="Arial" w:hAnsi="Arial" w:cs="Arial"/>
          <w:b/>
          <w:sz w:val="22"/>
        </w:rPr>
        <w:t>LEGAL IMPORTANTE</w:t>
      </w:r>
    </w:p>
    <w:p w:rsidR="003C1C92" w:rsidRPr="00E43A5C" w:rsidRDefault="003C1C92" w:rsidP="00051D80">
      <w:pPr>
        <w:rPr>
          <w:rFonts w:ascii="Arial" w:hAnsi="Arial" w:cs="Arial"/>
          <w:b/>
          <w:sz w:val="16"/>
          <w:szCs w:val="16"/>
        </w:rPr>
      </w:pPr>
    </w:p>
    <w:p w:rsidR="0062290E" w:rsidRDefault="0062290E" w:rsidP="003C1C92">
      <w:pPr>
        <w:jc w:val="center"/>
        <w:rPr>
          <w:rFonts w:ascii="Arial" w:hAnsi="Arial" w:cs="Arial"/>
          <w:b/>
          <w:sz w:val="22"/>
        </w:rPr>
      </w:pPr>
      <w:r w:rsidRPr="00051D80">
        <w:rPr>
          <w:rFonts w:ascii="Arial" w:hAnsi="Arial" w:cs="Arial"/>
          <w:b/>
          <w:sz w:val="22"/>
        </w:rPr>
        <w:t>TIME SENSITIVE</w:t>
      </w:r>
    </w:p>
    <w:p w:rsidR="003C1C92" w:rsidRPr="00051D80" w:rsidRDefault="003C1C92" w:rsidP="00051D80">
      <w:pPr>
        <w:rPr>
          <w:rFonts w:ascii="Arial" w:hAnsi="Arial" w:cs="Arial"/>
          <w:b/>
          <w:sz w:val="22"/>
        </w:rPr>
      </w:pPr>
      <w:r w:rsidRPr="003C1C9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C6F8B" wp14:editId="75CFE755">
                <wp:simplePos x="0" y="0"/>
                <wp:positionH relativeFrom="column">
                  <wp:posOffset>53975</wp:posOffset>
                </wp:positionH>
                <wp:positionV relativeFrom="paragraph">
                  <wp:posOffset>31750</wp:posOffset>
                </wp:positionV>
                <wp:extent cx="6122670" cy="309245"/>
                <wp:effectExtent l="0" t="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92" w:rsidRPr="00051D80" w:rsidRDefault="003C1C92" w:rsidP="00051D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1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Claim of Exemption is Due </w:t>
                            </w:r>
                            <w:proofErr w:type="gramStart"/>
                            <w:r w:rsidRPr="00051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Within</w:t>
                            </w:r>
                            <w:proofErr w:type="gramEnd"/>
                            <w:r w:rsidRPr="00051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14 Days of Mailing or Service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5pt;margin-top:2.5pt;width:482.1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hyJAIAAEYEAAAOAAAAZHJzL2Uyb0RvYy54bWysU9uO2yAQfa/Uf0C8N3a8SXZjxVlts01V&#10;aXuRdvsBBOMYFRgKJHb69R2wN01vL1V5QAwzHGbOmVnd9lqRo3BegqnodJJTIgyHWpp9RT8/bV/d&#10;UOIDMzVTYERFT8LT2/XLF6vOlqKAFlQtHEEQ48vOVrQNwZZZ5nkrNPMTsMKgswGnWUDT7bPasQ7R&#10;tcqKPF9kHbjaOuDCe7y9H5x0nfCbRvDwsWm8CERVFHMLaXdp38U9W69YuXfMtpKPabB/yEIzafDT&#10;M9Q9C4wcnPwNSkvuwEMTJhx0Bk0juUg1YDXT/JdqHltmRaoFyfH2TJP/f7D8w/GTI7Ku6FV+TYlh&#10;GkV6En0gr6EnReSns77EsEeLgaHHa9Q51ertA/AvnhjYtMzsxZ1z0LWC1ZjfNL7MLp4OOD6C7Lr3&#10;UOM37BAgAfWN05E8pIMgOup0OmsTU+F4uZgWxeIaXRx9V/mymM3TF6x8fm2dD28FaBIPFXWofUJn&#10;xwcfYjasfA6Jn3lQst5KpZLh9ruNcuTIsE+2aY3oP4UpQ7qKLufFfCDgrxB5Wn+C0DJgwyupK3pz&#10;DmJlpO2NqVM7BibVcMaUlRl5jNQNJIZ+14+67KA+IaMOhsbGQcRDC+4bJR02dUX91wNzghL1zqAq&#10;y+lsFqcgGbP5dYGGu/TsLj3McISqaKBkOG5CmpxImIE7VK+Ridgo85DJmCs2a+J7HKw4DZd2ivox&#10;/uvvAAAA//8DAFBLAwQUAAYACAAAACEAqLkru9wAAAAGAQAADwAAAGRycy9kb3ducmV2LnhtbEyP&#10;wU7DMBBE70j8g7VIXBB1aGnThjgVQgLBDdoKrm68TSLsdbDdNPw9ywmOoxm9fVuuR2fFgCF2nhTc&#10;TDIQSLU3HTUKdtvH6yWImDQZbT2hgm+MsK7Oz0pdGH+iNxw2qREMoVhoBW1KfSFlrFt0Ok58j8Td&#10;wQenE8fQSBP0ieHOymmWLaTTHfGFVvf40GL9uTk6Bcvb5+Ejvsxe3+vFwa7SVT48fQWlLi/G+zsQ&#10;Ccf0N4ZffVaHip32/kgmCsuMOQ8VzPkhblf5NAex5zzLQVal/K9f/QAAAP//AwBQSwECLQAUAAYA&#10;CAAAACEAtoM4kv4AAADhAQAAEwAAAAAAAAAAAAAAAAAAAAAAW0NvbnRlbnRfVHlwZXNdLnhtbFBL&#10;AQItABQABgAIAAAAIQA4/SH/1gAAAJQBAAALAAAAAAAAAAAAAAAAAC8BAABfcmVscy8ucmVsc1BL&#10;AQItABQABgAIAAAAIQCqCyhyJAIAAEYEAAAOAAAAAAAAAAAAAAAAAC4CAABkcnMvZTJvRG9jLnht&#10;bFBLAQItABQABgAIAAAAIQCouSu73AAAAAYBAAAPAAAAAAAAAAAAAAAAAH4EAABkcnMvZG93bnJl&#10;di54bWxQSwUGAAAAAAQABADzAAAAhwUAAAAA&#10;">
                <v:textbox>
                  <w:txbxContent>
                    <w:p w:rsidR="003C1C92" w:rsidRPr="00051D80" w:rsidRDefault="003C1C92" w:rsidP="00051D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51D80">
                        <w:rPr>
                          <w:rFonts w:ascii="Arial" w:hAnsi="Arial" w:cs="Arial"/>
                          <w:sz w:val="28"/>
                          <w:szCs w:val="28"/>
                        </w:rPr>
                        <w:t>Claim of Exemption is Due Within 14 Days of Mailing or Service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You</w:t>
                      </w:r>
                    </w:p>
                  </w:txbxContent>
                </v:textbox>
              </v:shape>
            </w:pict>
          </mc:Fallback>
        </mc:AlternateContent>
      </w:r>
    </w:p>
    <w:p w:rsidR="00560FFB" w:rsidRPr="00051D80" w:rsidRDefault="00560FFB" w:rsidP="00A57D05">
      <w:pPr>
        <w:jc w:val="center"/>
        <w:rPr>
          <w:rFonts w:ascii="Arial" w:hAnsi="Arial" w:cs="Arial"/>
          <w:sz w:val="22"/>
        </w:rPr>
      </w:pPr>
    </w:p>
    <w:p w:rsidR="003C1C92" w:rsidRDefault="003C1C92" w:rsidP="00A01941">
      <w:pPr>
        <w:jc w:val="center"/>
        <w:rPr>
          <w:rFonts w:ascii="Arial" w:hAnsi="Arial" w:cs="Arial"/>
          <w:smallCaps/>
          <w:sz w:val="22"/>
        </w:rPr>
      </w:pPr>
    </w:p>
    <w:p w:rsidR="002608BD" w:rsidRPr="00051D80" w:rsidRDefault="0062290E" w:rsidP="00A01941">
      <w:pPr>
        <w:jc w:val="center"/>
        <w:rPr>
          <w:rFonts w:ascii="Arial" w:hAnsi="Arial" w:cs="Arial"/>
          <w:smallCaps/>
          <w:sz w:val="22"/>
        </w:rPr>
      </w:pPr>
      <w:proofErr w:type="gramStart"/>
      <w:r w:rsidRPr="00051D80">
        <w:rPr>
          <w:rFonts w:ascii="Arial" w:hAnsi="Arial" w:cs="Arial"/>
          <w:smallCaps/>
          <w:sz w:val="22"/>
        </w:rPr>
        <w:t>YOUR</w:t>
      </w:r>
      <w:proofErr w:type="gramEnd"/>
      <w:r w:rsidRPr="00051D80">
        <w:rPr>
          <w:rFonts w:ascii="Arial" w:hAnsi="Arial" w:cs="Arial"/>
          <w:smallCaps/>
          <w:sz w:val="22"/>
        </w:rPr>
        <w:t xml:space="preserve"> </w:t>
      </w:r>
      <w:r w:rsidR="00560FFB" w:rsidRPr="00051D80">
        <w:rPr>
          <w:rFonts w:ascii="Arial" w:hAnsi="Arial" w:cs="Arial"/>
          <w:smallCaps/>
          <w:sz w:val="22"/>
        </w:rPr>
        <w:t xml:space="preserve">MONEY </w:t>
      </w:r>
      <w:r w:rsidRPr="00051D80">
        <w:rPr>
          <w:rFonts w:ascii="Arial" w:hAnsi="Arial" w:cs="Arial"/>
          <w:smallCaps/>
          <w:sz w:val="22"/>
        </w:rPr>
        <w:t>OR OTHER PROPERTY HAS</w:t>
      </w:r>
      <w:r w:rsidR="002608BD" w:rsidRPr="00051D80">
        <w:rPr>
          <w:rFonts w:ascii="Arial" w:hAnsi="Arial" w:cs="Arial"/>
          <w:smallCaps/>
          <w:sz w:val="22"/>
        </w:rPr>
        <w:t xml:space="preserve"> BEEN TAKEN TO </w:t>
      </w:r>
      <w:r w:rsidR="00A83032" w:rsidRPr="00051D80">
        <w:rPr>
          <w:rFonts w:ascii="Arial" w:hAnsi="Arial" w:cs="Arial"/>
          <w:smallCaps/>
          <w:sz w:val="22"/>
        </w:rPr>
        <w:t>PAY</w:t>
      </w:r>
      <w:r w:rsidR="002608BD" w:rsidRPr="00051D80">
        <w:rPr>
          <w:rFonts w:ascii="Arial" w:hAnsi="Arial" w:cs="Arial"/>
          <w:smallCaps/>
          <w:sz w:val="22"/>
        </w:rPr>
        <w:t xml:space="preserve"> A COURT JUDGMENT. </w:t>
      </w:r>
      <w:r w:rsidR="00560FFB" w:rsidRPr="00051D80">
        <w:rPr>
          <w:rFonts w:ascii="Arial" w:hAnsi="Arial" w:cs="Arial"/>
          <w:smallCaps/>
          <w:sz w:val="22"/>
        </w:rPr>
        <w:t xml:space="preserve">YOU MAY BE ABLE TO GET YOUR MONEY </w:t>
      </w:r>
      <w:r w:rsidR="002608BD" w:rsidRPr="00051D80">
        <w:rPr>
          <w:rFonts w:ascii="Arial" w:hAnsi="Arial" w:cs="Arial"/>
          <w:smallCaps/>
          <w:sz w:val="22"/>
        </w:rPr>
        <w:t>OR PROPERTY BACK, SO READ THIS NOTICE CAREFULLY.</w:t>
      </w:r>
    </w:p>
    <w:p w:rsidR="008B4B19" w:rsidRPr="00EB2D22" w:rsidRDefault="008B4B19" w:rsidP="00A01941">
      <w:pPr>
        <w:jc w:val="center"/>
        <w:rPr>
          <w:rFonts w:ascii="Arial" w:hAnsi="Arial" w:cs="Arial"/>
          <w:sz w:val="18"/>
          <w:szCs w:val="18"/>
        </w:rPr>
      </w:pPr>
    </w:p>
    <w:p w:rsidR="00E43A5C" w:rsidRPr="00EB2D22" w:rsidRDefault="00E43A5C" w:rsidP="00E43A5C">
      <w:pPr>
        <w:jc w:val="center"/>
        <w:rPr>
          <w:rFonts w:ascii="Arial" w:hAnsi="Arial" w:cs="Arial"/>
          <w:i/>
          <w:smallCaps/>
          <w:sz w:val="22"/>
          <w:lang w:val="es-ES"/>
        </w:rPr>
      </w:pPr>
      <w:r w:rsidRPr="00EB2D22">
        <w:rPr>
          <w:rFonts w:ascii="Arial" w:hAnsi="Arial" w:cs="Arial"/>
          <w:i/>
          <w:smallCaps/>
          <w:sz w:val="22"/>
          <w:lang w:val="es-ES"/>
        </w:rPr>
        <w:t>SU DINERO U OTROS BIENES SE HAN CONFISCADO PARA PAGAR UN FALLO JUDICIAL. TAL VEZ PUEDA RECUPERAR SU DINERO O SUS BIENES, ASÍ QUE LEA ESTE AVISO CON DETENIMIENTO.</w:t>
      </w:r>
      <w:r w:rsidRPr="00EB2D22">
        <w:rPr>
          <w:i/>
          <w:lang w:val="es-419"/>
        </w:rPr>
        <w:t xml:space="preserve"> </w:t>
      </w:r>
      <w:r w:rsidRPr="00EB2D22">
        <w:rPr>
          <w:rFonts w:ascii="Arial" w:hAnsi="Arial" w:cs="Arial"/>
          <w:i/>
          <w:smallCaps/>
          <w:sz w:val="22"/>
          <w:lang w:val="es-ES"/>
        </w:rPr>
        <w:t>SI SOLAMENTE HABLA ESPAÑOL, PUEDE OBTENER UN FORMULARIO EN ESPAÑOL EN LA OFICINA DEL SHERIFF</w:t>
      </w:r>
    </w:p>
    <w:p w:rsidR="002608BD" w:rsidRPr="00E43A5C" w:rsidRDefault="002608BD" w:rsidP="00F1397A">
      <w:pPr>
        <w:rPr>
          <w:rFonts w:ascii="Arial" w:hAnsi="Arial" w:cs="Arial"/>
          <w:sz w:val="18"/>
          <w:szCs w:val="18"/>
          <w:lang w:val="es-ES"/>
        </w:rPr>
      </w:pPr>
    </w:p>
    <w:p w:rsidR="002608BD" w:rsidRPr="00051D80" w:rsidRDefault="00890CA9" w:rsidP="00F1397A">
      <w:pPr>
        <w:rPr>
          <w:rFonts w:ascii="Arial" w:hAnsi="Arial" w:cs="Arial"/>
          <w:b/>
          <w:sz w:val="22"/>
        </w:rPr>
      </w:pPr>
      <w:r w:rsidRPr="00051D80">
        <w:rPr>
          <w:rFonts w:ascii="Arial" w:hAnsi="Arial" w:cs="Arial"/>
          <w:b/>
          <w:sz w:val="22"/>
        </w:rPr>
        <w:t>WHY AM I RECEIVING THIS NOTICE?</w:t>
      </w:r>
    </w:p>
    <w:p w:rsidR="008B4B19" w:rsidRPr="00051D80" w:rsidRDefault="00890CA9" w:rsidP="00F1397A">
      <w:pPr>
        <w:rPr>
          <w:rFonts w:ascii="Arial" w:hAnsi="Arial" w:cs="Arial"/>
          <w:sz w:val="22"/>
        </w:rPr>
      </w:pPr>
      <w:r w:rsidRPr="00051D80">
        <w:rPr>
          <w:rFonts w:ascii="Arial" w:hAnsi="Arial" w:cs="Arial"/>
          <w:sz w:val="22"/>
        </w:rPr>
        <w:t xml:space="preserve">A court has determined that you owe </w:t>
      </w:r>
      <w:r w:rsidRPr="00051D80">
        <w:rPr>
          <w:rFonts w:ascii="Arial" w:hAnsi="Arial" w:cs="Arial"/>
          <w:sz w:val="18"/>
          <w:szCs w:val="18"/>
        </w:rPr>
        <w:t xml:space="preserve">(amount </w:t>
      </w:r>
      <w:r w:rsidR="00EC1C45" w:rsidRPr="00051D80">
        <w:rPr>
          <w:rFonts w:ascii="Arial" w:hAnsi="Arial" w:cs="Arial"/>
          <w:sz w:val="18"/>
          <w:szCs w:val="18"/>
        </w:rPr>
        <w:t>owed</w:t>
      </w:r>
      <w:r w:rsidRPr="00051D80">
        <w:rPr>
          <w:rFonts w:ascii="Arial" w:hAnsi="Arial" w:cs="Arial"/>
          <w:sz w:val="18"/>
          <w:szCs w:val="18"/>
        </w:rPr>
        <w:t>)</w:t>
      </w:r>
      <w:r w:rsidR="00EC1C45" w:rsidRPr="00051D80">
        <w:rPr>
          <w:rFonts w:ascii="Arial" w:hAnsi="Arial" w:cs="Arial"/>
          <w:sz w:val="22"/>
        </w:rPr>
        <w:t xml:space="preserve"> $</w:t>
      </w:r>
      <w:r w:rsidR="00EC1C45" w:rsidRP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  <w:t xml:space="preserve"> </w:t>
      </w:r>
      <w:r w:rsidR="00EC1C45">
        <w:rPr>
          <w:rFonts w:ascii="Arial" w:hAnsi="Arial" w:cs="Arial"/>
          <w:sz w:val="22"/>
        </w:rPr>
        <w:t xml:space="preserve"> </w:t>
      </w:r>
      <w:r w:rsidRPr="00051D80">
        <w:rPr>
          <w:rFonts w:ascii="Arial" w:hAnsi="Arial" w:cs="Arial"/>
          <w:sz w:val="22"/>
        </w:rPr>
        <w:t>to</w:t>
      </w:r>
      <w:r w:rsidR="00EC1C45">
        <w:rPr>
          <w:rFonts w:ascii="Arial" w:hAnsi="Arial" w:cs="Arial"/>
          <w:sz w:val="22"/>
        </w:rPr>
        <w:t>:</w:t>
      </w:r>
      <w:r w:rsidRPr="00051D80">
        <w:rPr>
          <w:rFonts w:ascii="Arial" w:hAnsi="Arial" w:cs="Arial"/>
          <w:sz w:val="22"/>
        </w:rPr>
        <w:t xml:space="preserve"> </w:t>
      </w:r>
      <w:r w:rsidRPr="00051D80">
        <w:rPr>
          <w:rFonts w:ascii="Arial" w:hAnsi="Arial" w:cs="Arial"/>
          <w:sz w:val="18"/>
          <w:szCs w:val="18"/>
        </w:rPr>
        <w:t>(</w:t>
      </w:r>
      <w:r w:rsidR="00EC1C45" w:rsidRPr="00051D80">
        <w:rPr>
          <w:rFonts w:ascii="Arial" w:hAnsi="Arial" w:cs="Arial"/>
          <w:sz w:val="18"/>
          <w:szCs w:val="18"/>
        </w:rPr>
        <w:t>plaintiff’s name</w:t>
      </w:r>
      <w:r w:rsidRPr="00051D80">
        <w:rPr>
          <w:rFonts w:ascii="Arial" w:hAnsi="Arial" w:cs="Arial"/>
          <w:sz w:val="18"/>
          <w:szCs w:val="18"/>
        </w:rPr>
        <w:t>)</w:t>
      </w:r>
      <w:r w:rsidR="00EC1C45">
        <w:rPr>
          <w:rFonts w:ascii="Arial" w:hAnsi="Arial" w:cs="Arial"/>
          <w:sz w:val="18"/>
          <w:szCs w:val="18"/>
        </w:rPr>
        <w:t xml:space="preserve"> </w:t>
      </w:r>
      <w:r w:rsid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</w:r>
      <w:r w:rsidR="00EC1C45">
        <w:rPr>
          <w:rFonts w:ascii="Arial" w:hAnsi="Arial" w:cs="Arial"/>
          <w:sz w:val="22"/>
          <w:u w:val="single"/>
        </w:rPr>
        <w:tab/>
      </w:r>
      <w:r w:rsidRPr="00051D80">
        <w:rPr>
          <w:rFonts w:ascii="Arial" w:hAnsi="Arial" w:cs="Arial"/>
          <w:sz w:val="22"/>
        </w:rPr>
        <w:t xml:space="preserve">, the judgment creditor. </w:t>
      </w:r>
      <w:r w:rsidR="008B4B19" w:rsidRPr="00051D80">
        <w:rPr>
          <w:rFonts w:ascii="Arial" w:hAnsi="Arial" w:cs="Arial"/>
          <w:sz w:val="22"/>
        </w:rPr>
        <w:t xml:space="preserve"> You are receiving this notice because the judgment creditor </w:t>
      </w:r>
      <w:r w:rsidR="00A83032" w:rsidRPr="00051D80">
        <w:rPr>
          <w:rFonts w:ascii="Arial" w:hAnsi="Arial" w:cs="Arial"/>
          <w:sz w:val="22"/>
        </w:rPr>
        <w:t>has di</w:t>
      </w:r>
      <w:r w:rsidR="00560FFB" w:rsidRPr="00051D80">
        <w:rPr>
          <w:rFonts w:ascii="Arial" w:hAnsi="Arial" w:cs="Arial"/>
          <w:sz w:val="22"/>
        </w:rPr>
        <w:t xml:space="preserve">rected the sheriff to </w:t>
      </w:r>
      <w:r w:rsidR="006F4CC8" w:rsidRPr="00051D80">
        <w:rPr>
          <w:rFonts w:ascii="Arial" w:hAnsi="Arial" w:cs="Arial"/>
          <w:sz w:val="22"/>
        </w:rPr>
        <w:t>collect</w:t>
      </w:r>
      <w:r w:rsidR="00560FFB" w:rsidRPr="00051D80">
        <w:rPr>
          <w:rFonts w:ascii="Arial" w:hAnsi="Arial" w:cs="Arial"/>
          <w:sz w:val="22"/>
        </w:rPr>
        <w:t xml:space="preserve"> your </w:t>
      </w:r>
      <w:r w:rsidR="006F4CC8" w:rsidRPr="00051D80">
        <w:rPr>
          <w:rFonts w:ascii="Arial" w:hAnsi="Arial" w:cs="Arial"/>
          <w:sz w:val="22"/>
        </w:rPr>
        <w:t xml:space="preserve">wages, funds, benefits and </w:t>
      </w:r>
      <w:r w:rsidR="00A83032" w:rsidRPr="00051D80">
        <w:rPr>
          <w:rFonts w:ascii="Arial" w:hAnsi="Arial" w:cs="Arial"/>
          <w:sz w:val="22"/>
        </w:rPr>
        <w:t xml:space="preserve">property to pay this judgment. </w:t>
      </w:r>
    </w:p>
    <w:p w:rsidR="00175F27" w:rsidRPr="00E43A5C" w:rsidRDefault="00175F27" w:rsidP="00F1397A">
      <w:pPr>
        <w:rPr>
          <w:rFonts w:ascii="Arial" w:hAnsi="Arial" w:cs="Arial"/>
          <w:sz w:val="18"/>
          <w:szCs w:val="18"/>
        </w:rPr>
      </w:pPr>
    </w:p>
    <w:p w:rsidR="000D7BC2" w:rsidRPr="00051D80" w:rsidRDefault="000D7BC2" w:rsidP="00F1397A">
      <w:pPr>
        <w:rPr>
          <w:rFonts w:ascii="Arial" w:hAnsi="Arial" w:cs="Arial"/>
          <w:b/>
          <w:sz w:val="22"/>
        </w:rPr>
      </w:pPr>
      <w:r w:rsidRPr="00051D80">
        <w:rPr>
          <w:rFonts w:ascii="Arial" w:hAnsi="Arial" w:cs="Arial"/>
          <w:b/>
          <w:sz w:val="22"/>
        </w:rPr>
        <w:t>WHAT ARE MY RIGHTS?</w:t>
      </w:r>
    </w:p>
    <w:p w:rsidR="000D7BC2" w:rsidRPr="00051D80" w:rsidRDefault="0062290E" w:rsidP="00F1397A">
      <w:pPr>
        <w:rPr>
          <w:rFonts w:ascii="Arial" w:hAnsi="Arial" w:cs="Arial"/>
          <w:b/>
          <w:sz w:val="22"/>
        </w:rPr>
      </w:pPr>
      <w:r w:rsidRPr="00051D80">
        <w:rPr>
          <w:rFonts w:ascii="Arial" w:hAnsi="Arial" w:cs="Arial"/>
          <w:sz w:val="22"/>
        </w:rPr>
        <w:t xml:space="preserve">Idaho </w:t>
      </w:r>
      <w:r w:rsidR="008B4B19" w:rsidRPr="00051D80">
        <w:rPr>
          <w:rFonts w:ascii="Arial" w:hAnsi="Arial" w:cs="Arial"/>
          <w:sz w:val="22"/>
        </w:rPr>
        <w:t xml:space="preserve">and federal law protect certain </w:t>
      </w:r>
      <w:r w:rsidR="006F4CC8" w:rsidRPr="00051D80">
        <w:rPr>
          <w:rFonts w:ascii="Arial" w:hAnsi="Arial" w:cs="Arial"/>
          <w:sz w:val="22"/>
        </w:rPr>
        <w:t xml:space="preserve">wages, funds, benefits </w:t>
      </w:r>
      <w:r w:rsidR="008B4B19" w:rsidRPr="00051D80">
        <w:rPr>
          <w:rFonts w:ascii="Arial" w:hAnsi="Arial" w:cs="Arial"/>
          <w:sz w:val="22"/>
        </w:rPr>
        <w:t>and property from being taken to pay certain types of judgments. Th</w:t>
      </w:r>
      <w:r w:rsidR="006F4CC8" w:rsidRPr="00051D80">
        <w:rPr>
          <w:rFonts w:ascii="Arial" w:hAnsi="Arial" w:cs="Arial"/>
          <w:sz w:val="22"/>
        </w:rPr>
        <w:t>ese</w:t>
      </w:r>
      <w:r w:rsidR="008B4B19" w:rsidRPr="00051D80">
        <w:rPr>
          <w:rFonts w:ascii="Arial" w:hAnsi="Arial" w:cs="Arial"/>
          <w:sz w:val="22"/>
        </w:rPr>
        <w:t xml:space="preserve"> protected </w:t>
      </w:r>
      <w:r w:rsidR="006F4CC8" w:rsidRPr="00051D80">
        <w:rPr>
          <w:rFonts w:ascii="Arial" w:hAnsi="Arial" w:cs="Arial"/>
          <w:sz w:val="22"/>
        </w:rPr>
        <w:t>wages, funds, benefits</w:t>
      </w:r>
      <w:r w:rsidR="008B4B19" w:rsidRPr="00051D80">
        <w:rPr>
          <w:rFonts w:ascii="Arial" w:hAnsi="Arial" w:cs="Arial"/>
          <w:sz w:val="22"/>
        </w:rPr>
        <w:t xml:space="preserve"> and property </w:t>
      </w:r>
      <w:r w:rsidR="006F4CC8" w:rsidRPr="00051D80">
        <w:rPr>
          <w:rFonts w:ascii="Arial" w:hAnsi="Arial" w:cs="Arial"/>
          <w:sz w:val="22"/>
        </w:rPr>
        <w:t>are</w:t>
      </w:r>
      <w:r w:rsidR="008B4B19" w:rsidRPr="00051D80">
        <w:rPr>
          <w:rFonts w:ascii="Arial" w:hAnsi="Arial" w:cs="Arial"/>
          <w:sz w:val="22"/>
        </w:rPr>
        <w:t xml:space="preserve"> </w:t>
      </w:r>
      <w:r w:rsidR="008B4B19" w:rsidRPr="00051D80">
        <w:rPr>
          <w:rFonts w:ascii="Arial" w:hAnsi="Arial" w:cs="Arial"/>
          <w:b/>
          <w:i/>
          <w:sz w:val="22"/>
        </w:rPr>
        <w:t>exempt</w:t>
      </w:r>
      <w:r w:rsidR="008B4B19" w:rsidRPr="00051D80">
        <w:rPr>
          <w:rFonts w:ascii="Arial" w:hAnsi="Arial" w:cs="Arial"/>
          <w:sz w:val="22"/>
        </w:rPr>
        <w:t xml:space="preserve"> from </w:t>
      </w:r>
      <w:proofErr w:type="gramStart"/>
      <w:r w:rsidR="008B4B19" w:rsidRPr="00051D80">
        <w:rPr>
          <w:rFonts w:ascii="Arial" w:hAnsi="Arial" w:cs="Arial"/>
          <w:sz w:val="22"/>
        </w:rPr>
        <w:t>garnishment</w:t>
      </w:r>
      <w:proofErr w:type="gramEnd"/>
      <w:r w:rsidR="008B4B19" w:rsidRPr="00051D80">
        <w:rPr>
          <w:rFonts w:ascii="Arial" w:hAnsi="Arial" w:cs="Arial"/>
          <w:sz w:val="22"/>
        </w:rPr>
        <w:t xml:space="preserve">. To protect your </w:t>
      </w:r>
      <w:r w:rsidR="006F4CC8" w:rsidRPr="00051D80">
        <w:rPr>
          <w:rFonts w:ascii="Arial" w:hAnsi="Arial" w:cs="Arial"/>
          <w:sz w:val="22"/>
        </w:rPr>
        <w:t xml:space="preserve">wages, funds, benefits and </w:t>
      </w:r>
      <w:r w:rsidR="008B4B19" w:rsidRPr="00051D80">
        <w:rPr>
          <w:rFonts w:ascii="Arial" w:hAnsi="Arial" w:cs="Arial"/>
          <w:sz w:val="22"/>
        </w:rPr>
        <w:t>property, you must file a</w:t>
      </w:r>
      <w:r w:rsidRPr="00051D80">
        <w:rPr>
          <w:rFonts w:ascii="Arial" w:hAnsi="Arial" w:cs="Arial"/>
          <w:sz w:val="22"/>
        </w:rPr>
        <w:t xml:space="preserve"> </w:t>
      </w:r>
      <w:r w:rsidRPr="00051D80">
        <w:rPr>
          <w:rFonts w:ascii="Arial" w:hAnsi="Arial" w:cs="Arial"/>
          <w:i/>
          <w:sz w:val="22"/>
        </w:rPr>
        <w:t>Claim of Exemption</w:t>
      </w:r>
      <w:r w:rsidR="008B4B19" w:rsidRPr="00051D80">
        <w:rPr>
          <w:rFonts w:ascii="Arial" w:hAnsi="Arial" w:cs="Arial"/>
          <w:sz w:val="22"/>
        </w:rPr>
        <w:t>.</w:t>
      </w:r>
    </w:p>
    <w:p w:rsidR="008B4B19" w:rsidRPr="00E43A5C" w:rsidRDefault="008B4B19" w:rsidP="00F1397A">
      <w:pPr>
        <w:rPr>
          <w:rFonts w:ascii="Arial" w:hAnsi="Arial" w:cs="Arial"/>
          <w:b/>
          <w:sz w:val="18"/>
          <w:szCs w:val="18"/>
        </w:rPr>
      </w:pPr>
    </w:p>
    <w:p w:rsidR="00342171" w:rsidRPr="00051D80" w:rsidRDefault="00342171" w:rsidP="00F1397A">
      <w:pPr>
        <w:rPr>
          <w:rFonts w:ascii="Arial" w:hAnsi="Arial" w:cs="Arial"/>
          <w:sz w:val="22"/>
        </w:rPr>
      </w:pPr>
      <w:r w:rsidRPr="00051D80">
        <w:rPr>
          <w:rFonts w:ascii="Arial" w:hAnsi="Arial" w:cs="Arial"/>
          <w:b/>
          <w:sz w:val="22"/>
        </w:rPr>
        <w:t>WHAT IS A CLAIM OF EXEMPTION</w:t>
      </w:r>
      <w:r w:rsidR="006F4CC8" w:rsidRPr="00051D80">
        <w:rPr>
          <w:rFonts w:ascii="Arial" w:hAnsi="Arial" w:cs="Arial"/>
          <w:b/>
          <w:sz w:val="22"/>
        </w:rPr>
        <w:t>?</w:t>
      </w:r>
    </w:p>
    <w:p w:rsidR="007A1E19" w:rsidRPr="00876F05" w:rsidRDefault="008B4B19" w:rsidP="007A1E19">
      <w:pPr>
        <w:rPr>
          <w:rFonts w:ascii="Arial" w:hAnsi="Arial" w:cs="Arial"/>
          <w:sz w:val="22"/>
        </w:rPr>
      </w:pPr>
      <w:r w:rsidRPr="00051D80">
        <w:rPr>
          <w:rFonts w:ascii="Arial" w:hAnsi="Arial" w:cs="Arial"/>
          <w:sz w:val="22"/>
        </w:rPr>
        <w:t xml:space="preserve">A </w:t>
      </w:r>
      <w:r w:rsidR="0062290E" w:rsidRPr="00051D80">
        <w:rPr>
          <w:rFonts w:ascii="Arial" w:hAnsi="Arial" w:cs="Arial"/>
          <w:i/>
          <w:sz w:val="22"/>
        </w:rPr>
        <w:t>Claim of Exemption</w:t>
      </w:r>
      <w:r w:rsidR="0062290E" w:rsidRPr="00051D80">
        <w:rPr>
          <w:rFonts w:ascii="Arial" w:hAnsi="Arial" w:cs="Arial"/>
          <w:b/>
          <w:sz w:val="22"/>
        </w:rPr>
        <w:t xml:space="preserve"> </w:t>
      </w:r>
      <w:r w:rsidR="0062290E" w:rsidRPr="00051D80">
        <w:rPr>
          <w:rFonts w:ascii="Arial" w:hAnsi="Arial" w:cs="Arial"/>
          <w:sz w:val="22"/>
        </w:rPr>
        <w:t xml:space="preserve">will </w:t>
      </w:r>
      <w:r w:rsidR="006F4CC8" w:rsidRPr="00051D80">
        <w:rPr>
          <w:rFonts w:ascii="Arial" w:hAnsi="Arial" w:cs="Arial"/>
          <w:sz w:val="22"/>
        </w:rPr>
        <w:t>notify</w:t>
      </w:r>
      <w:r w:rsidR="00495177" w:rsidRPr="00051D80">
        <w:rPr>
          <w:rFonts w:ascii="Arial" w:hAnsi="Arial" w:cs="Arial"/>
          <w:sz w:val="22"/>
        </w:rPr>
        <w:t xml:space="preserve"> the sherif</w:t>
      </w:r>
      <w:r w:rsidR="0062290E" w:rsidRPr="00051D80">
        <w:rPr>
          <w:rFonts w:ascii="Arial" w:hAnsi="Arial" w:cs="Arial"/>
          <w:sz w:val="22"/>
        </w:rPr>
        <w:t xml:space="preserve">f that the </w:t>
      </w:r>
      <w:r w:rsidR="006F4CC8" w:rsidRPr="00051D80">
        <w:rPr>
          <w:rFonts w:ascii="Arial" w:hAnsi="Arial" w:cs="Arial"/>
          <w:sz w:val="22"/>
        </w:rPr>
        <w:t xml:space="preserve">wages, funds, benefits and </w:t>
      </w:r>
      <w:r w:rsidR="00495177" w:rsidRPr="00051D80">
        <w:rPr>
          <w:rFonts w:ascii="Arial" w:hAnsi="Arial" w:cs="Arial"/>
          <w:sz w:val="22"/>
        </w:rPr>
        <w:t>property</w:t>
      </w:r>
      <w:r w:rsidR="0062290E" w:rsidRPr="00051D80">
        <w:rPr>
          <w:rFonts w:ascii="Arial" w:hAnsi="Arial" w:cs="Arial"/>
          <w:sz w:val="22"/>
        </w:rPr>
        <w:t xml:space="preserve"> which </w:t>
      </w:r>
      <w:r w:rsidR="00E93DD6">
        <w:rPr>
          <w:rFonts w:ascii="Arial" w:hAnsi="Arial" w:cs="Arial"/>
          <w:sz w:val="22"/>
        </w:rPr>
        <w:t>have</w:t>
      </w:r>
      <w:r w:rsidR="00E93DD6" w:rsidRPr="00051D80">
        <w:rPr>
          <w:rFonts w:ascii="Arial" w:hAnsi="Arial" w:cs="Arial"/>
          <w:sz w:val="22"/>
        </w:rPr>
        <w:t xml:space="preserve"> </w:t>
      </w:r>
      <w:r w:rsidR="0062290E" w:rsidRPr="00051D80">
        <w:rPr>
          <w:rFonts w:ascii="Arial" w:hAnsi="Arial" w:cs="Arial"/>
          <w:sz w:val="22"/>
        </w:rPr>
        <w:t xml:space="preserve">been taken </w:t>
      </w:r>
      <w:r w:rsidR="006F4CC8" w:rsidRPr="00051D80">
        <w:rPr>
          <w:rFonts w:ascii="Arial" w:hAnsi="Arial" w:cs="Arial"/>
          <w:sz w:val="22"/>
        </w:rPr>
        <w:t>are</w:t>
      </w:r>
      <w:r w:rsidR="0062290E" w:rsidRPr="00051D80">
        <w:rPr>
          <w:rFonts w:ascii="Arial" w:hAnsi="Arial" w:cs="Arial"/>
          <w:sz w:val="22"/>
        </w:rPr>
        <w:t xml:space="preserve"> </w:t>
      </w:r>
      <w:r w:rsidR="0062290E" w:rsidRPr="00051D80">
        <w:rPr>
          <w:rFonts w:ascii="Arial" w:hAnsi="Arial" w:cs="Arial"/>
          <w:b/>
          <w:i/>
          <w:sz w:val="22"/>
        </w:rPr>
        <w:t xml:space="preserve">exempt </w:t>
      </w:r>
      <w:r w:rsidR="0062290E" w:rsidRPr="00051D80">
        <w:rPr>
          <w:rFonts w:ascii="Arial" w:hAnsi="Arial" w:cs="Arial"/>
          <w:sz w:val="22"/>
        </w:rPr>
        <w:t xml:space="preserve">from garnishment, and the money or property should be returned to you. </w:t>
      </w:r>
      <w:r w:rsidR="000901EF" w:rsidRPr="00051D80">
        <w:rPr>
          <w:rFonts w:ascii="Arial" w:hAnsi="Arial" w:cs="Arial"/>
          <w:sz w:val="22"/>
        </w:rPr>
        <w:t xml:space="preserve">A copy of the </w:t>
      </w:r>
      <w:r w:rsidR="0062290E" w:rsidRPr="00051D80">
        <w:rPr>
          <w:rFonts w:ascii="Arial" w:hAnsi="Arial" w:cs="Arial"/>
          <w:i/>
          <w:sz w:val="22"/>
        </w:rPr>
        <w:t xml:space="preserve">Claim of Exemption </w:t>
      </w:r>
      <w:r w:rsidR="004B0A0A">
        <w:rPr>
          <w:rFonts w:ascii="Arial" w:hAnsi="Arial" w:cs="Arial"/>
          <w:sz w:val="22"/>
        </w:rPr>
        <w:t>f</w:t>
      </w:r>
      <w:r w:rsidR="0062290E" w:rsidRPr="00051D80">
        <w:rPr>
          <w:rFonts w:ascii="Arial" w:hAnsi="Arial" w:cs="Arial"/>
          <w:sz w:val="22"/>
        </w:rPr>
        <w:t xml:space="preserve">orm and </w:t>
      </w:r>
      <w:r w:rsidR="000901EF" w:rsidRPr="00051D80">
        <w:rPr>
          <w:rFonts w:ascii="Arial" w:hAnsi="Arial" w:cs="Arial"/>
          <w:sz w:val="22"/>
        </w:rPr>
        <w:t xml:space="preserve">instructions for filling it out and </w:t>
      </w:r>
      <w:r w:rsidRPr="00051D80">
        <w:rPr>
          <w:rFonts w:ascii="Arial" w:hAnsi="Arial" w:cs="Arial"/>
          <w:sz w:val="22"/>
        </w:rPr>
        <w:t>returning</w:t>
      </w:r>
      <w:r w:rsidR="000901EF" w:rsidRPr="00051D80">
        <w:rPr>
          <w:rFonts w:ascii="Arial" w:hAnsi="Arial" w:cs="Arial"/>
          <w:sz w:val="22"/>
        </w:rPr>
        <w:t xml:space="preserve"> it</w:t>
      </w:r>
      <w:r w:rsidR="00A57D05" w:rsidRPr="00051D80">
        <w:rPr>
          <w:rFonts w:ascii="Arial" w:hAnsi="Arial" w:cs="Arial"/>
          <w:sz w:val="22"/>
        </w:rPr>
        <w:t xml:space="preserve"> to the sheriff</w:t>
      </w:r>
      <w:r w:rsidR="0062290E" w:rsidRPr="00051D80">
        <w:rPr>
          <w:rFonts w:ascii="Arial" w:hAnsi="Arial" w:cs="Arial"/>
          <w:sz w:val="22"/>
        </w:rPr>
        <w:t xml:space="preserve"> has been included with this notice.</w:t>
      </w:r>
      <w:r w:rsidR="007A1E19" w:rsidRPr="00051D80">
        <w:rPr>
          <w:rFonts w:ascii="Arial" w:hAnsi="Arial" w:cs="Arial"/>
          <w:sz w:val="22"/>
        </w:rPr>
        <w:t xml:space="preserve"> </w:t>
      </w:r>
      <w:r w:rsidR="00B522E7" w:rsidRPr="00051D80">
        <w:rPr>
          <w:rFonts w:ascii="Arial" w:hAnsi="Arial" w:cs="Arial"/>
          <w:sz w:val="22"/>
        </w:rPr>
        <w:t xml:space="preserve">You can download a </w:t>
      </w:r>
      <w:r w:rsidR="00B522E7" w:rsidRPr="00051D80">
        <w:rPr>
          <w:rFonts w:ascii="Arial" w:hAnsi="Arial" w:cs="Arial"/>
          <w:i/>
          <w:sz w:val="22"/>
        </w:rPr>
        <w:t>Claim of</w:t>
      </w:r>
      <w:r w:rsidR="007A1E19" w:rsidRPr="00051D80">
        <w:rPr>
          <w:rFonts w:ascii="Arial" w:hAnsi="Arial" w:cs="Arial"/>
          <w:i/>
          <w:sz w:val="22"/>
        </w:rPr>
        <w:t xml:space="preserve"> </w:t>
      </w:r>
      <w:r w:rsidR="00B522E7" w:rsidRPr="00051D80">
        <w:rPr>
          <w:rFonts w:ascii="Arial" w:hAnsi="Arial" w:cs="Arial"/>
          <w:i/>
          <w:sz w:val="22"/>
        </w:rPr>
        <w:t>E</w:t>
      </w:r>
      <w:r w:rsidR="007A1E19" w:rsidRPr="00051D80">
        <w:rPr>
          <w:rFonts w:ascii="Arial" w:hAnsi="Arial" w:cs="Arial"/>
          <w:i/>
          <w:sz w:val="22"/>
        </w:rPr>
        <w:t>xemption</w:t>
      </w:r>
      <w:r w:rsidR="007A1E19" w:rsidRPr="00051D80">
        <w:rPr>
          <w:rFonts w:ascii="Arial" w:hAnsi="Arial" w:cs="Arial"/>
          <w:sz w:val="22"/>
        </w:rPr>
        <w:t xml:space="preserve"> form</w:t>
      </w:r>
      <w:r w:rsidR="00B522E7" w:rsidRPr="00051D80">
        <w:rPr>
          <w:rFonts w:ascii="Arial" w:hAnsi="Arial" w:cs="Arial"/>
          <w:sz w:val="22"/>
        </w:rPr>
        <w:t xml:space="preserve"> at</w:t>
      </w:r>
      <w:r w:rsidR="00B522E7" w:rsidRPr="00051D80">
        <w:rPr>
          <w:rFonts w:ascii="Arial" w:hAnsi="Arial" w:cs="Arial"/>
          <w:sz w:val="22"/>
          <w:u w:val="single"/>
        </w:rPr>
        <w:t xml:space="preserve"> </w:t>
      </w:r>
      <w:hyperlink r:id="rId9" w:history="1">
        <w:r w:rsidR="00876F05" w:rsidRPr="00E36CC1">
          <w:rPr>
            <w:rStyle w:val="Hyperlink"/>
            <w:rFonts w:ascii="Arial" w:hAnsi="Arial" w:cs="Arial"/>
            <w:sz w:val="22"/>
          </w:rPr>
          <w:t>https://isc.idaho.gov/ircp-new</w:t>
        </w:r>
      </w:hyperlink>
      <w:r w:rsidR="00876F05">
        <w:rPr>
          <w:rFonts w:ascii="Arial" w:hAnsi="Arial" w:cs="Arial"/>
          <w:sz w:val="22"/>
        </w:rPr>
        <w:t>, at the bottom of the page under Appendix B</w:t>
      </w:r>
      <w:r w:rsidR="00B522E7" w:rsidRPr="00876F05">
        <w:rPr>
          <w:rFonts w:ascii="Arial" w:hAnsi="Arial" w:cs="Arial"/>
          <w:sz w:val="22"/>
        </w:rPr>
        <w:t xml:space="preserve">. </w:t>
      </w:r>
    </w:p>
    <w:p w:rsidR="007A1E19" w:rsidRPr="00051D80" w:rsidRDefault="007A1E19" w:rsidP="007A1E19">
      <w:pPr>
        <w:rPr>
          <w:rFonts w:ascii="Arial" w:hAnsi="Arial" w:cs="Arial"/>
          <w:sz w:val="22"/>
        </w:rPr>
      </w:pPr>
    </w:p>
    <w:p w:rsidR="000901EF" w:rsidRPr="00051D80" w:rsidRDefault="000901EF" w:rsidP="00F1397A">
      <w:pPr>
        <w:rPr>
          <w:rFonts w:ascii="Arial" w:hAnsi="Arial" w:cs="Arial"/>
          <w:sz w:val="22"/>
        </w:rPr>
      </w:pPr>
      <w:r w:rsidRPr="00051D80">
        <w:rPr>
          <w:rFonts w:ascii="Arial" w:hAnsi="Arial" w:cs="Arial"/>
          <w:b/>
          <w:sz w:val="22"/>
        </w:rPr>
        <w:t>WHAT EXEMPTIONS ARE AVAILABLE TO ME?</w:t>
      </w:r>
    </w:p>
    <w:p w:rsidR="008B4B19" w:rsidRPr="00051D80" w:rsidRDefault="0062290E" w:rsidP="008B4B19">
      <w:pPr>
        <w:rPr>
          <w:rFonts w:ascii="Arial" w:hAnsi="Arial" w:cs="Arial"/>
          <w:sz w:val="22"/>
        </w:rPr>
      </w:pPr>
      <w:r w:rsidRPr="00051D80">
        <w:rPr>
          <w:rFonts w:ascii="Arial" w:hAnsi="Arial" w:cs="Arial"/>
          <w:sz w:val="22"/>
        </w:rPr>
        <w:t>This notice includes</w:t>
      </w:r>
      <w:r w:rsidR="006F4CC8" w:rsidRPr="00051D80">
        <w:rPr>
          <w:rFonts w:ascii="Arial" w:hAnsi="Arial" w:cs="Arial"/>
          <w:sz w:val="22"/>
        </w:rPr>
        <w:t xml:space="preserve"> a </w:t>
      </w:r>
      <w:r w:rsidR="006F4CC8" w:rsidRPr="00051D80">
        <w:rPr>
          <w:rFonts w:ascii="Arial" w:hAnsi="Arial" w:cs="Arial"/>
          <w:i/>
          <w:sz w:val="22"/>
        </w:rPr>
        <w:t>Partial L</w:t>
      </w:r>
      <w:r w:rsidR="008B4B19" w:rsidRPr="00051D80">
        <w:rPr>
          <w:rFonts w:ascii="Arial" w:hAnsi="Arial" w:cs="Arial"/>
          <w:i/>
          <w:sz w:val="22"/>
        </w:rPr>
        <w:t>is</w:t>
      </w:r>
      <w:r w:rsidRPr="00051D80">
        <w:rPr>
          <w:rFonts w:ascii="Arial" w:hAnsi="Arial" w:cs="Arial"/>
          <w:i/>
          <w:sz w:val="22"/>
        </w:rPr>
        <w:t xml:space="preserve">t of </w:t>
      </w:r>
      <w:r w:rsidR="006F4CC8" w:rsidRPr="00051D80">
        <w:rPr>
          <w:rFonts w:ascii="Arial" w:hAnsi="Arial" w:cs="Arial"/>
          <w:i/>
          <w:sz w:val="22"/>
        </w:rPr>
        <w:t>E</w:t>
      </w:r>
      <w:r w:rsidRPr="00051D80">
        <w:rPr>
          <w:rFonts w:ascii="Arial" w:hAnsi="Arial" w:cs="Arial"/>
          <w:i/>
          <w:sz w:val="22"/>
        </w:rPr>
        <w:t>xemptions</w:t>
      </w:r>
      <w:r w:rsidR="00FB4BC3">
        <w:rPr>
          <w:rFonts w:ascii="Arial" w:hAnsi="Arial" w:cs="Arial"/>
          <w:i/>
          <w:sz w:val="22"/>
        </w:rPr>
        <w:t xml:space="preserve"> </w:t>
      </w:r>
      <w:r w:rsidR="00FB4BC3">
        <w:rPr>
          <w:rFonts w:ascii="Arial" w:hAnsi="Arial" w:cs="Arial"/>
          <w:sz w:val="22"/>
        </w:rPr>
        <w:t>under Idaho and Federal Law.</w:t>
      </w:r>
      <w:r w:rsidR="008B4B19" w:rsidRPr="00051D80">
        <w:rPr>
          <w:rFonts w:ascii="Arial" w:hAnsi="Arial" w:cs="Arial"/>
          <w:sz w:val="22"/>
        </w:rPr>
        <w:t xml:space="preserve"> </w:t>
      </w:r>
      <w:r w:rsidR="00BE1F47" w:rsidRPr="00051D80">
        <w:rPr>
          <w:rFonts w:ascii="Arial" w:hAnsi="Arial" w:cs="Arial"/>
          <w:sz w:val="22"/>
        </w:rPr>
        <w:t>The</w:t>
      </w:r>
      <w:r w:rsidR="008B4B19" w:rsidRPr="00051D80">
        <w:rPr>
          <w:rFonts w:ascii="Arial" w:hAnsi="Arial" w:cs="Arial"/>
          <w:sz w:val="22"/>
        </w:rPr>
        <w:t xml:space="preserve"> list may not include all exemptions that apply in your case because of periodic changes in the law. </w:t>
      </w:r>
    </w:p>
    <w:p w:rsidR="00342171" w:rsidRPr="00E43A5C" w:rsidRDefault="00342171" w:rsidP="00F1397A">
      <w:pPr>
        <w:rPr>
          <w:rFonts w:ascii="Arial" w:hAnsi="Arial" w:cs="Arial"/>
          <w:sz w:val="18"/>
          <w:szCs w:val="18"/>
        </w:rPr>
      </w:pPr>
    </w:p>
    <w:p w:rsidR="00342171" w:rsidRPr="00051D80" w:rsidRDefault="001E7640" w:rsidP="00F1397A">
      <w:pPr>
        <w:rPr>
          <w:rFonts w:ascii="Arial" w:hAnsi="Arial" w:cs="Arial"/>
          <w:b/>
          <w:sz w:val="22"/>
        </w:rPr>
      </w:pPr>
      <w:r w:rsidRPr="00051D80">
        <w:rPr>
          <w:rFonts w:ascii="Arial" w:hAnsi="Arial" w:cs="Arial"/>
          <w:b/>
          <w:sz w:val="22"/>
        </w:rPr>
        <w:t>WHAT IS MY NEXT STEP?</w:t>
      </w:r>
    </w:p>
    <w:p w:rsidR="00E93DD6" w:rsidRDefault="00BE1F47" w:rsidP="00051D80">
      <w:pPr>
        <w:spacing w:after="240"/>
        <w:rPr>
          <w:rFonts w:ascii="Arial" w:hAnsi="Arial" w:cs="Arial"/>
          <w:sz w:val="18"/>
          <w:szCs w:val="18"/>
        </w:rPr>
      </w:pPr>
      <w:r w:rsidRPr="00051D80">
        <w:rPr>
          <w:rFonts w:ascii="Arial" w:hAnsi="Arial" w:cs="Arial"/>
          <w:sz w:val="22"/>
        </w:rPr>
        <w:t>I</w:t>
      </w:r>
      <w:r w:rsidR="00495177" w:rsidRPr="00051D80">
        <w:rPr>
          <w:rFonts w:ascii="Arial" w:hAnsi="Arial" w:cs="Arial"/>
          <w:sz w:val="22"/>
        </w:rPr>
        <w:t xml:space="preserve">mmediately </w:t>
      </w:r>
      <w:r w:rsidR="008B4B19" w:rsidRPr="00051D80">
        <w:rPr>
          <w:rFonts w:ascii="Arial" w:hAnsi="Arial" w:cs="Arial"/>
          <w:sz w:val="22"/>
        </w:rPr>
        <w:t xml:space="preserve">return </w:t>
      </w:r>
      <w:r w:rsidRPr="00051D80">
        <w:rPr>
          <w:rFonts w:ascii="Arial" w:hAnsi="Arial" w:cs="Arial"/>
          <w:sz w:val="22"/>
        </w:rPr>
        <w:t xml:space="preserve">a </w:t>
      </w:r>
      <w:r w:rsidR="006F4CC8" w:rsidRPr="00051D80">
        <w:rPr>
          <w:rFonts w:ascii="Arial" w:hAnsi="Arial" w:cs="Arial"/>
          <w:sz w:val="22"/>
        </w:rPr>
        <w:t xml:space="preserve">completed </w:t>
      </w:r>
      <w:r w:rsidRPr="00051D80">
        <w:rPr>
          <w:rFonts w:ascii="Arial" w:hAnsi="Arial" w:cs="Arial"/>
          <w:i/>
          <w:sz w:val="22"/>
        </w:rPr>
        <w:t>Claim of Exemption</w:t>
      </w:r>
      <w:r w:rsidRPr="00051D80">
        <w:rPr>
          <w:rFonts w:ascii="Arial" w:hAnsi="Arial" w:cs="Arial"/>
          <w:b/>
          <w:sz w:val="22"/>
        </w:rPr>
        <w:t xml:space="preserve"> </w:t>
      </w:r>
      <w:r w:rsidRPr="00051D80">
        <w:rPr>
          <w:rFonts w:ascii="Arial" w:hAnsi="Arial" w:cs="Arial"/>
          <w:sz w:val="22"/>
        </w:rPr>
        <w:t>to the sheriff at</w:t>
      </w:r>
      <w:r w:rsidR="00E93DD6">
        <w:rPr>
          <w:rFonts w:ascii="Arial" w:hAnsi="Arial" w:cs="Arial"/>
          <w:sz w:val="22"/>
        </w:rPr>
        <w:t xml:space="preserve">: </w:t>
      </w:r>
      <w:r w:rsidR="008B4B19" w:rsidRPr="00051D80">
        <w:rPr>
          <w:rFonts w:ascii="Arial" w:hAnsi="Arial" w:cs="Arial"/>
          <w:sz w:val="18"/>
          <w:szCs w:val="18"/>
        </w:rPr>
        <w:t>(</w:t>
      </w:r>
      <w:r w:rsidR="00E93DD6">
        <w:rPr>
          <w:rFonts w:ascii="Arial" w:hAnsi="Arial" w:cs="Arial"/>
          <w:sz w:val="18"/>
          <w:szCs w:val="18"/>
        </w:rPr>
        <w:t>sheriff’s</w:t>
      </w:r>
      <w:r w:rsidR="008B4B19" w:rsidRPr="00051D80">
        <w:rPr>
          <w:rFonts w:ascii="Arial" w:hAnsi="Arial" w:cs="Arial"/>
          <w:sz w:val="18"/>
          <w:szCs w:val="18"/>
        </w:rPr>
        <w:t xml:space="preserve"> address)</w:t>
      </w:r>
    </w:p>
    <w:p w:rsidR="00E93DD6" w:rsidRPr="00051D80" w:rsidRDefault="00E93DD6" w:rsidP="00051D80">
      <w:pPr>
        <w:spacing w:after="240"/>
        <w:rPr>
          <w:rFonts w:ascii="Arial" w:hAnsi="Arial" w:cs="Arial"/>
          <w:sz w:val="6"/>
          <w:szCs w:val="6"/>
        </w:rPr>
      </w:pPr>
    </w:p>
    <w:p w:rsidR="00E93DD6" w:rsidRPr="00051D80" w:rsidRDefault="00E93DD6" w:rsidP="00051D80">
      <w:pPr>
        <w:spacing w:before="240" w:after="0"/>
        <w:rPr>
          <w:rFonts w:ascii="Arial" w:hAnsi="Arial" w:cs="Arial"/>
          <w:sz w:val="18"/>
          <w:szCs w:val="18"/>
        </w:rPr>
      </w:pP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Pr="004B0A0A">
        <w:rPr>
          <w:rFonts w:ascii="Arial" w:hAnsi="Arial" w:cs="Arial"/>
          <w:sz w:val="18"/>
          <w:szCs w:val="18"/>
          <w:u w:val="single"/>
        </w:rPr>
        <w:tab/>
      </w:r>
      <w:r w:rsidR="008B4B19" w:rsidRPr="00051D80">
        <w:rPr>
          <w:rFonts w:ascii="Arial" w:hAnsi="Arial" w:cs="Arial"/>
          <w:sz w:val="18"/>
          <w:szCs w:val="18"/>
        </w:rPr>
        <w:t>.</w:t>
      </w:r>
    </w:p>
    <w:p w:rsidR="008B4B19" w:rsidRPr="00051D80" w:rsidRDefault="00495177" w:rsidP="00F1397A">
      <w:pPr>
        <w:rPr>
          <w:rFonts w:ascii="Arial" w:hAnsi="Arial" w:cs="Arial"/>
          <w:sz w:val="22"/>
        </w:rPr>
      </w:pPr>
      <w:r w:rsidRPr="00051D80">
        <w:rPr>
          <w:rFonts w:ascii="Arial" w:hAnsi="Arial" w:cs="Arial"/>
          <w:b/>
          <w:sz w:val="22"/>
        </w:rPr>
        <w:t xml:space="preserve">If you </w:t>
      </w:r>
      <w:r w:rsidR="00BE1F47" w:rsidRPr="00051D80">
        <w:rPr>
          <w:rFonts w:ascii="Arial" w:hAnsi="Arial" w:cs="Arial"/>
          <w:b/>
          <w:sz w:val="22"/>
        </w:rPr>
        <w:t>fail to</w:t>
      </w:r>
      <w:r w:rsidR="00920366" w:rsidRPr="00051D80">
        <w:rPr>
          <w:rFonts w:ascii="Arial" w:hAnsi="Arial" w:cs="Arial"/>
          <w:b/>
          <w:sz w:val="22"/>
        </w:rPr>
        <w:t xml:space="preserve"> </w:t>
      </w:r>
      <w:r w:rsidR="00A325DD">
        <w:rPr>
          <w:rFonts w:ascii="Arial" w:hAnsi="Arial" w:cs="Arial"/>
          <w:b/>
          <w:sz w:val="22"/>
        </w:rPr>
        <w:t>return</w:t>
      </w:r>
      <w:r w:rsidR="00BE1F47" w:rsidRPr="00051D80">
        <w:rPr>
          <w:rFonts w:ascii="Arial" w:hAnsi="Arial" w:cs="Arial"/>
          <w:b/>
          <w:sz w:val="22"/>
        </w:rPr>
        <w:t xml:space="preserve"> a Claim of E</w:t>
      </w:r>
      <w:r w:rsidRPr="00051D80">
        <w:rPr>
          <w:rFonts w:ascii="Arial" w:hAnsi="Arial" w:cs="Arial"/>
          <w:b/>
          <w:sz w:val="22"/>
        </w:rPr>
        <w:t xml:space="preserve">xemption </w:t>
      </w:r>
      <w:r w:rsidR="00BE1F47" w:rsidRPr="00051D80">
        <w:rPr>
          <w:rFonts w:ascii="Arial" w:hAnsi="Arial" w:cs="Arial"/>
          <w:b/>
          <w:sz w:val="22"/>
        </w:rPr>
        <w:t xml:space="preserve">Form </w:t>
      </w:r>
      <w:r w:rsidR="00A325DD">
        <w:rPr>
          <w:rFonts w:ascii="Arial" w:hAnsi="Arial" w:cs="Arial"/>
          <w:b/>
          <w:sz w:val="22"/>
        </w:rPr>
        <w:t xml:space="preserve">to the sheriff </w:t>
      </w:r>
      <w:r w:rsidRPr="00051D80">
        <w:rPr>
          <w:rFonts w:ascii="Arial" w:hAnsi="Arial" w:cs="Arial"/>
          <w:b/>
          <w:sz w:val="22"/>
        </w:rPr>
        <w:t>within fourteen (14) days of the maili</w:t>
      </w:r>
      <w:r w:rsidR="00560FFB" w:rsidRPr="00051D80">
        <w:rPr>
          <w:rFonts w:ascii="Arial" w:hAnsi="Arial" w:cs="Arial"/>
          <w:b/>
          <w:sz w:val="22"/>
        </w:rPr>
        <w:t xml:space="preserve">ng/service of this notice, </w:t>
      </w:r>
      <w:r w:rsidR="00BE1F47" w:rsidRPr="00051D80">
        <w:rPr>
          <w:rFonts w:ascii="Arial" w:hAnsi="Arial" w:cs="Arial"/>
          <w:b/>
          <w:sz w:val="22"/>
        </w:rPr>
        <w:t xml:space="preserve">your </w:t>
      </w:r>
      <w:r w:rsidR="006F4CC8" w:rsidRPr="00051D80">
        <w:rPr>
          <w:rFonts w:ascii="Arial" w:hAnsi="Arial" w:cs="Arial"/>
          <w:b/>
          <w:sz w:val="22"/>
        </w:rPr>
        <w:t xml:space="preserve">wages, </w:t>
      </w:r>
      <w:r w:rsidR="000845C8" w:rsidRPr="00051D80">
        <w:rPr>
          <w:rFonts w:ascii="Arial" w:hAnsi="Arial" w:cs="Arial"/>
          <w:b/>
          <w:sz w:val="22"/>
        </w:rPr>
        <w:t>money</w:t>
      </w:r>
      <w:r w:rsidR="006F4CC8" w:rsidRPr="00051D80">
        <w:rPr>
          <w:rFonts w:ascii="Arial" w:hAnsi="Arial" w:cs="Arial"/>
          <w:b/>
          <w:sz w:val="22"/>
        </w:rPr>
        <w:t xml:space="preserve">, benefits and </w:t>
      </w:r>
      <w:r w:rsidR="00BE1F47" w:rsidRPr="00051D80">
        <w:rPr>
          <w:rFonts w:ascii="Arial" w:hAnsi="Arial" w:cs="Arial"/>
          <w:b/>
          <w:sz w:val="22"/>
        </w:rPr>
        <w:t>persona</w:t>
      </w:r>
      <w:r w:rsidR="00BE1F47" w:rsidRPr="00051D80">
        <w:rPr>
          <w:rFonts w:ascii="Arial" w:hAnsi="Arial" w:cs="Arial"/>
          <w:sz w:val="22"/>
        </w:rPr>
        <w:t>l</w:t>
      </w:r>
      <w:r w:rsidR="00BE1F47" w:rsidRPr="00051D80">
        <w:rPr>
          <w:rFonts w:ascii="Arial" w:hAnsi="Arial" w:cs="Arial"/>
          <w:b/>
          <w:sz w:val="22"/>
        </w:rPr>
        <w:t xml:space="preserve"> property will be released to pay the judgment</w:t>
      </w:r>
      <w:r w:rsidR="00A325DD">
        <w:rPr>
          <w:rFonts w:ascii="Arial" w:hAnsi="Arial" w:cs="Arial"/>
          <w:b/>
          <w:sz w:val="22"/>
        </w:rPr>
        <w:t xml:space="preserve">. </w:t>
      </w:r>
      <w:r w:rsidR="00705B34">
        <w:rPr>
          <w:rFonts w:ascii="Arial" w:hAnsi="Arial" w:cs="Arial"/>
          <w:b/>
          <w:sz w:val="22"/>
        </w:rPr>
        <w:t>For mailed documents, the 14-day period starts running from the postmark date.</w:t>
      </w:r>
      <w:r w:rsidR="00A325DD">
        <w:rPr>
          <w:rFonts w:ascii="Arial" w:hAnsi="Arial" w:cs="Arial"/>
          <w:b/>
          <w:sz w:val="22"/>
        </w:rPr>
        <w:t xml:space="preserve">  </w:t>
      </w:r>
      <w:r w:rsidR="00285492" w:rsidRPr="00EB2D22">
        <w:rPr>
          <w:rFonts w:ascii="Arial" w:hAnsi="Arial" w:cs="Arial"/>
          <w:sz w:val="22"/>
        </w:rPr>
        <w:t>Y</w:t>
      </w:r>
      <w:r w:rsidR="00BE1F47" w:rsidRPr="00051D80">
        <w:rPr>
          <w:rFonts w:ascii="Arial" w:hAnsi="Arial" w:cs="Arial"/>
          <w:sz w:val="22"/>
        </w:rPr>
        <w:t>ou may</w:t>
      </w:r>
      <w:r w:rsidR="00C179A8" w:rsidRPr="00051D80">
        <w:rPr>
          <w:rFonts w:ascii="Arial" w:hAnsi="Arial" w:cs="Arial"/>
          <w:sz w:val="22"/>
        </w:rPr>
        <w:t xml:space="preserve"> </w:t>
      </w:r>
      <w:r w:rsidR="00285492">
        <w:rPr>
          <w:rFonts w:ascii="Arial" w:hAnsi="Arial" w:cs="Arial"/>
          <w:sz w:val="22"/>
        </w:rPr>
        <w:t xml:space="preserve">also </w:t>
      </w:r>
      <w:r w:rsidR="00C179A8" w:rsidRPr="00051D80">
        <w:rPr>
          <w:rFonts w:ascii="Arial" w:hAnsi="Arial" w:cs="Arial"/>
          <w:sz w:val="22"/>
        </w:rPr>
        <w:t>lose you</w:t>
      </w:r>
      <w:r w:rsidR="000915A5" w:rsidRPr="00051D80">
        <w:rPr>
          <w:rFonts w:ascii="Arial" w:hAnsi="Arial" w:cs="Arial"/>
          <w:sz w:val="22"/>
        </w:rPr>
        <w:t>r</w:t>
      </w:r>
      <w:r w:rsidR="00C179A8" w:rsidRPr="00051D80">
        <w:rPr>
          <w:rFonts w:ascii="Arial" w:hAnsi="Arial" w:cs="Arial"/>
          <w:sz w:val="22"/>
        </w:rPr>
        <w:t xml:space="preserve"> right to claim an exemption or</w:t>
      </w:r>
      <w:r w:rsidR="00BE1F47" w:rsidRPr="00051D80">
        <w:rPr>
          <w:rFonts w:ascii="Arial" w:hAnsi="Arial" w:cs="Arial"/>
          <w:sz w:val="22"/>
        </w:rPr>
        <w:t xml:space="preserve"> </w:t>
      </w:r>
      <w:r w:rsidR="00285492">
        <w:rPr>
          <w:rFonts w:ascii="Arial" w:hAnsi="Arial" w:cs="Arial"/>
          <w:sz w:val="22"/>
        </w:rPr>
        <w:t xml:space="preserve">you may </w:t>
      </w:r>
      <w:r w:rsidR="00BE1F47" w:rsidRPr="00051D80">
        <w:rPr>
          <w:rFonts w:ascii="Arial" w:hAnsi="Arial" w:cs="Arial"/>
          <w:sz w:val="22"/>
        </w:rPr>
        <w:t>have to bring further court action to rec</w:t>
      </w:r>
      <w:r w:rsidR="006F4CC8" w:rsidRPr="00051D80">
        <w:rPr>
          <w:rFonts w:ascii="Arial" w:hAnsi="Arial" w:cs="Arial"/>
          <w:sz w:val="22"/>
        </w:rPr>
        <w:t>over</w:t>
      </w:r>
      <w:r w:rsidR="003C1C92">
        <w:rPr>
          <w:rFonts w:ascii="Arial" w:hAnsi="Arial" w:cs="Arial"/>
          <w:sz w:val="22"/>
        </w:rPr>
        <w:t xml:space="preserve"> </w:t>
      </w:r>
      <w:r w:rsidR="00C179A8" w:rsidRPr="00051D80">
        <w:rPr>
          <w:rFonts w:ascii="Arial" w:hAnsi="Arial" w:cs="Arial"/>
          <w:sz w:val="22"/>
        </w:rPr>
        <w:t xml:space="preserve">your wages, </w:t>
      </w:r>
      <w:r w:rsidR="003C1C92">
        <w:rPr>
          <w:rFonts w:ascii="Arial" w:hAnsi="Arial" w:cs="Arial"/>
          <w:sz w:val="22"/>
        </w:rPr>
        <w:t>money</w:t>
      </w:r>
      <w:r w:rsidR="00C179A8" w:rsidRPr="00051D80">
        <w:rPr>
          <w:rFonts w:ascii="Arial" w:hAnsi="Arial" w:cs="Arial"/>
          <w:sz w:val="22"/>
        </w:rPr>
        <w:t xml:space="preserve">, benefits and </w:t>
      </w:r>
      <w:r w:rsidR="00B522E7" w:rsidRPr="00051D80">
        <w:rPr>
          <w:rFonts w:ascii="Arial" w:hAnsi="Arial" w:cs="Arial"/>
          <w:sz w:val="22"/>
        </w:rPr>
        <w:t>property</w:t>
      </w:r>
      <w:r w:rsidR="00BE1F47" w:rsidRPr="00051D80">
        <w:rPr>
          <w:rFonts w:ascii="Arial" w:hAnsi="Arial" w:cs="Arial"/>
          <w:sz w:val="22"/>
        </w:rPr>
        <w:t>.</w:t>
      </w:r>
      <w:r w:rsidR="000915A5" w:rsidRPr="00051D80">
        <w:rPr>
          <w:rFonts w:ascii="Arial" w:hAnsi="Arial" w:cs="Arial"/>
          <w:sz w:val="22"/>
        </w:rPr>
        <w:t xml:space="preserve"> </w:t>
      </w:r>
    </w:p>
    <w:p w:rsidR="00BE1F47" w:rsidRPr="00E43A5C" w:rsidRDefault="00BE1F47" w:rsidP="00F1397A">
      <w:pPr>
        <w:rPr>
          <w:rFonts w:ascii="Arial" w:hAnsi="Arial" w:cs="Arial"/>
          <w:sz w:val="18"/>
          <w:szCs w:val="18"/>
        </w:rPr>
      </w:pPr>
    </w:p>
    <w:p w:rsidR="00560FFB" w:rsidRPr="00051D80" w:rsidRDefault="00560FFB" w:rsidP="00F1397A">
      <w:pPr>
        <w:rPr>
          <w:rFonts w:ascii="Arial" w:hAnsi="Arial" w:cs="Arial"/>
          <w:sz w:val="22"/>
        </w:rPr>
      </w:pPr>
      <w:r w:rsidRPr="00051D80">
        <w:rPr>
          <w:rFonts w:ascii="Arial" w:hAnsi="Arial" w:cs="Arial"/>
          <w:b/>
          <w:sz w:val="22"/>
        </w:rPr>
        <w:t>WHO CAN I CONTACT IF I NEED HELP?</w:t>
      </w:r>
    </w:p>
    <w:p w:rsidR="00A325DD" w:rsidRDefault="00641733" w:rsidP="00175F27">
      <w:r w:rsidRPr="00051D80">
        <w:rPr>
          <w:rFonts w:ascii="Arial" w:hAnsi="Arial" w:cs="Arial"/>
          <w:sz w:val="22"/>
        </w:rPr>
        <w:t xml:space="preserve">If you have any questions concerning your rights in this matter, you should </w:t>
      </w:r>
      <w:r w:rsidR="008C7868" w:rsidRPr="00051D80">
        <w:rPr>
          <w:rFonts w:ascii="Arial" w:hAnsi="Arial" w:cs="Arial"/>
          <w:sz w:val="22"/>
        </w:rPr>
        <w:t>contact</w:t>
      </w:r>
      <w:r w:rsidRPr="00051D80">
        <w:rPr>
          <w:rFonts w:ascii="Arial" w:hAnsi="Arial" w:cs="Arial"/>
          <w:sz w:val="22"/>
        </w:rPr>
        <w:t xml:space="preserve"> an attorney as soon as possible.</w:t>
      </w:r>
      <w:r w:rsidR="001B324C" w:rsidRPr="00051D80">
        <w:rPr>
          <w:rFonts w:ascii="Arial" w:hAnsi="Arial" w:cs="Arial"/>
          <w:sz w:val="22"/>
        </w:rPr>
        <w:t xml:space="preserve"> More information on Claim</w:t>
      </w:r>
      <w:bookmarkStart w:id="0" w:name="_GoBack"/>
      <w:bookmarkEnd w:id="0"/>
      <w:r w:rsidR="001B324C" w:rsidRPr="00051D80">
        <w:rPr>
          <w:rFonts w:ascii="Arial" w:hAnsi="Arial" w:cs="Arial"/>
          <w:sz w:val="22"/>
        </w:rPr>
        <w:t xml:space="preserve"> of Exemption and Garnishments is available </w:t>
      </w:r>
      <w:r w:rsidR="004D6B13" w:rsidRPr="00051D80">
        <w:rPr>
          <w:rFonts w:ascii="Arial" w:hAnsi="Arial" w:cs="Arial"/>
          <w:sz w:val="22"/>
        </w:rPr>
        <w:t>from</w:t>
      </w:r>
      <w:r w:rsidR="001B324C" w:rsidRPr="00051D80">
        <w:rPr>
          <w:rFonts w:ascii="Arial" w:hAnsi="Arial" w:cs="Arial"/>
          <w:sz w:val="22"/>
        </w:rPr>
        <w:t xml:space="preserve"> </w:t>
      </w:r>
      <w:r w:rsidR="004D6B13" w:rsidRPr="00051D80">
        <w:rPr>
          <w:rFonts w:ascii="Arial" w:hAnsi="Arial" w:cs="Arial"/>
          <w:sz w:val="22"/>
        </w:rPr>
        <w:t xml:space="preserve">the local court assistance office at </w:t>
      </w:r>
      <w:hyperlink r:id="rId10" w:history="1">
        <w:r w:rsidR="004D6B13" w:rsidRPr="00051D80">
          <w:rPr>
            <w:rStyle w:val="Hyperlink"/>
            <w:rFonts w:ascii="Arial" w:hAnsi="Arial" w:cs="Arial"/>
            <w:sz w:val="22"/>
          </w:rPr>
          <w:t>www.courtselfhelp.idaho.gov/find-office</w:t>
        </w:r>
      </w:hyperlink>
      <w:r w:rsidR="004D6B13" w:rsidRPr="00051D80">
        <w:rPr>
          <w:rFonts w:ascii="Arial" w:hAnsi="Arial" w:cs="Arial"/>
          <w:sz w:val="22"/>
        </w:rPr>
        <w:t xml:space="preserve"> and Idaho Legal Aid Services, Inc. at </w:t>
      </w:r>
      <w:hyperlink r:id="rId11" w:history="1">
        <w:r w:rsidR="00B522E7" w:rsidRPr="00051D80">
          <w:rPr>
            <w:rStyle w:val="Hyperlink"/>
            <w:rFonts w:ascii="Arial" w:hAnsi="Arial" w:cs="Arial"/>
            <w:sz w:val="22"/>
          </w:rPr>
          <w:t>www.idaholegalaid.org/node/1564/execution-and-garnishment-judgments</w:t>
        </w:r>
      </w:hyperlink>
      <w:r w:rsidR="00B522E7" w:rsidRPr="00051D80">
        <w:rPr>
          <w:rFonts w:ascii="Arial" w:hAnsi="Arial" w:cs="Arial"/>
          <w:sz w:val="22"/>
        </w:rPr>
        <w:t xml:space="preserve">. </w:t>
      </w:r>
      <w:r w:rsidRPr="00051D80">
        <w:rPr>
          <w:rFonts w:ascii="Arial" w:hAnsi="Arial" w:cs="Arial"/>
          <w:sz w:val="22"/>
        </w:rPr>
        <w:t xml:space="preserve"> </w:t>
      </w:r>
      <w:r w:rsidR="00592EAF" w:rsidRPr="00051D80">
        <w:rPr>
          <w:rFonts w:ascii="Arial" w:hAnsi="Arial" w:cs="Arial"/>
          <w:sz w:val="22"/>
        </w:rPr>
        <w:t xml:space="preserve">If you cannot afford an attorney, you may contact the nearest office of Idaho Legal Aid Services, Inc. to </w:t>
      </w:r>
      <w:r w:rsidR="00175F27" w:rsidRPr="00051D80">
        <w:rPr>
          <w:rFonts w:ascii="Arial" w:hAnsi="Arial" w:cs="Arial"/>
          <w:sz w:val="22"/>
        </w:rPr>
        <w:t xml:space="preserve">see </w:t>
      </w:r>
      <w:r w:rsidR="00592EAF" w:rsidRPr="00051D80">
        <w:rPr>
          <w:rFonts w:ascii="Arial" w:hAnsi="Arial" w:cs="Arial"/>
          <w:sz w:val="22"/>
        </w:rPr>
        <w:t>if you are eligible for their assistance.</w:t>
      </w:r>
      <w:r w:rsidR="00175F27" w:rsidRPr="00051D80">
        <w:rPr>
          <w:rFonts w:ascii="Arial" w:hAnsi="Arial" w:cs="Arial"/>
          <w:sz w:val="22"/>
        </w:rPr>
        <w:t xml:space="preserve"> </w:t>
      </w:r>
      <w:r w:rsidR="00B522E7" w:rsidRPr="00051D80">
        <w:rPr>
          <w:rFonts w:ascii="Arial" w:hAnsi="Arial" w:cs="Arial"/>
          <w:sz w:val="22"/>
        </w:rPr>
        <w:t xml:space="preserve">See Contact Us: </w:t>
      </w:r>
      <w:hyperlink r:id="rId12" w:history="1">
        <w:r w:rsidR="00B522E7" w:rsidRPr="00051D80">
          <w:rPr>
            <w:rStyle w:val="Hyperlink"/>
            <w:rFonts w:ascii="Arial" w:hAnsi="Arial" w:cs="Arial"/>
            <w:sz w:val="22"/>
          </w:rPr>
          <w:t>www.idaholegalaid.org</w:t>
        </w:r>
      </w:hyperlink>
      <w:r w:rsidR="00B522E7" w:rsidRPr="00051D80">
        <w:rPr>
          <w:rFonts w:ascii="Arial" w:hAnsi="Arial" w:cs="Arial"/>
          <w:sz w:val="22"/>
        </w:rPr>
        <w:t xml:space="preserve">. </w:t>
      </w:r>
      <w:r w:rsidR="00B522E7" w:rsidRPr="00B522E7">
        <w:t xml:space="preserve"> </w:t>
      </w:r>
      <w:r w:rsidR="00B522E7">
        <w:t xml:space="preserve"> </w:t>
      </w:r>
    </w:p>
    <w:p w:rsidR="00495177" w:rsidRPr="00F011FE" w:rsidRDefault="009936D8" w:rsidP="00F011FE">
      <w:pPr>
        <w:jc w:val="center"/>
        <w:rPr>
          <w:b/>
        </w:rPr>
      </w:pPr>
      <w:r w:rsidRPr="00F011FE">
        <w:rPr>
          <w:b/>
        </w:rPr>
        <w:lastRenderedPageBreak/>
        <w:t>PARTIAL LIST OF EXEMPTIONS</w:t>
      </w:r>
    </w:p>
    <w:p w:rsidR="00BB0EBF" w:rsidRPr="00F011FE" w:rsidRDefault="00BB0EBF" w:rsidP="00C22AB7">
      <w:pPr>
        <w:jc w:val="center"/>
        <w:rPr>
          <w:b/>
          <w:sz w:val="20"/>
        </w:rPr>
      </w:pPr>
    </w:p>
    <w:p w:rsidR="009936D8" w:rsidRPr="00977C69" w:rsidRDefault="009936D8" w:rsidP="00F1397A">
      <w:pPr>
        <w:rPr>
          <w:sz w:val="20"/>
          <w:szCs w:val="20"/>
        </w:rPr>
      </w:pPr>
      <w:r w:rsidRPr="00977C69">
        <w:rPr>
          <w:b/>
          <w:sz w:val="20"/>
          <w:szCs w:val="20"/>
        </w:rPr>
        <w:t>MONEY</w:t>
      </w:r>
      <w:r w:rsidR="00977C69" w:rsidRPr="00977C69">
        <w:rPr>
          <w:b/>
          <w:sz w:val="20"/>
          <w:szCs w:val="20"/>
        </w:rPr>
        <w:t xml:space="preserve"> AND BENEFITS: </w:t>
      </w:r>
      <w:r w:rsidR="00977C69" w:rsidRPr="00977C69">
        <w:rPr>
          <w:sz w:val="20"/>
          <w:szCs w:val="20"/>
        </w:rPr>
        <w:t xml:space="preserve">Most exemptions </w:t>
      </w:r>
      <w:r w:rsidR="00977C69">
        <w:rPr>
          <w:sz w:val="20"/>
          <w:szCs w:val="20"/>
        </w:rPr>
        <w:t xml:space="preserve">are </w:t>
      </w:r>
      <w:r w:rsidR="00977C69" w:rsidRPr="00977C69">
        <w:rPr>
          <w:sz w:val="20"/>
          <w:szCs w:val="20"/>
        </w:rPr>
        <w:t xml:space="preserve">provided by the State of Idaho in Title 11, Chapter 6 of the Idaho Code. </w:t>
      </w:r>
      <w:r w:rsidR="009A6149" w:rsidRPr="009A6149">
        <w:rPr>
          <w:sz w:val="20"/>
          <w:szCs w:val="20"/>
        </w:rPr>
        <w:t>https://legislature.idaho.gov/statutesrules/idstat/Title11/</w:t>
      </w:r>
      <w:r w:rsidR="00977C69" w:rsidRPr="00977C69">
        <w:rPr>
          <w:sz w:val="20"/>
          <w:szCs w:val="20"/>
        </w:rPr>
        <w:t>.</w:t>
      </w:r>
      <w:r w:rsidR="00C22AB7">
        <w:rPr>
          <w:sz w:val="20"/>
          <w:szCs w:val="20"/>
        </w:rPr>
        <w:t xml:space="preserve"> Some exemption</w:t>
      </w:r>
      <w:r w:rsidR="00713590">
        <w:rPr>
          <w:sz w:val="20"/>
          <w:szCs w:val="20"/>
        </w:rPr>
        <w:t>s</w:t>
      </w:r>
      <w:r w:rsidR="00C22AB7">
        <w:rPr>
          <w:sz w:val="20"/>
          <w:szCs w:val="20"/>
        </w:rPr>
        <w:t xml:space="preserve"> will not apply to child support orders.</w:t>
      </w:r>
    </w:p>
    <w:p w:rsidR="00644CE5" w:rsidRPr="00F011FE" w:rsidRDefault="009936D8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>Wages</w:t>
      </w:r>
      <w:r w:rsidR="0045332A" w:rsidRPr="00F011FE">
        <w:rPr>
          <w:sz w:val="20"/>
        </w:rPr>
        <w:t xml:space="preserve">. 75% of your disposable earnings. </w:t>
      </w:r>
      <w:r w:rsidR="00BB0EBF" w:rsidRPr="00F011FE">
        <w:rPr>
          <w:sz w:val="20"/>
        </w:rPr>
        <w:t xml:space="preserve">If 75% of your disposable earnings </w:t>
      </w:r>
      <w:proofErr w:type="gramStart"/>
      <w:r w:rsidR="00BB0EBF" w:rsidRPr="00F011FE">
        <w:rPr>
          <w:sz w:val="20"/>
        </w:rPr>
        <w:t>is</w:t>
      </w:r>
      <w:proofErr w:type="gramEnd"/>
      <w:r w:rsidR="00BB0EBF" w:rsidRPr="00F011FE">
        <w:rPr>
          <w:sz w:val="20"/>
        </w:rPr>
        <w:t xml:space="preserve"> less than 30 times the </w:t>
      </w:r>
      <w:r w:rsidR="000A7C0F">
        <w:rPr>
          <w:sz w:val="20"/>
        </w:rPr>
        <w:t xml:space="preserve">federal </w:t>
      </w:r>
      <w:r w:rsidR="00BB0EBF" w:rsidRPr="00F011FE">
        <w:rPr>
          <w:sz w:val="20"/>
        </w:rPr>
        <w:t>minimum wage, you are entitled to keep 30 times th</w:t>
      </w:r>
      <w:r w:rsidR="000204DC" w:rsidRPr="00F011FE">
        <w:rPr>
          <w:sz w:val="20"/>
        </w:rPr>
        <w:t>e</w:t>
      </w:r>
      <w:r w:rsidR="000A7C0F">
        <w:rPr>
          <w:sz w:val="20"/>
        </w:rPr>
        <w:t xml:space="preserve"> federal</w:t>
      </w:r>
      <w:r w:rsidR="000204DC" w:rsidRPr="00F011FE">
        <w:rPr>
          <w:sz w:val="20"/>
        </w:rPr>
        <w:t xml:space="preserve"> minimum wage. (I.C. § 11-207)</w:t>
      </w:r>
    </w:p>
    <w:p w:rsidR="009A1889" w:rsidRPr="00F011FE" w:rsidRDefault="009A1889" w:rsidP="00F1397A">
      <w:pPr>
        <w:pStyle w:val="ListParagraph"/>
        <w:jc w:val="center"/>
        <w:rPr>
          <w:sz w:val="20"/>
        </w:rPr>
      </w:pPr>
      <w:r w:rsidRPr="00F011FE">
        <w:rPr>
          <w:sz w:val="20"/>
        </w:rPr>
        <w:br/>
      </w:r>
      <w:r w:rsidR="00644CE5" w:rsidRPr="00F011FE">
        <w:rPr>
          <w:sz w:val="20"/>
        </w:rPr>
        <w:t>Amount Available for Garnishment based on $7.25 Minimum Wage</w:t>
      </w:r>
    </w:p>
    <w:tbl>
      <w:tblPr>
        <w:tblStyle w:val="TableGrid"/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6"/>
        <w:gridCol w:w="1335"/>
        <w:gridCol w:w="947"/>
        <w:gridCol w:w="1252"/>
        <w:gridCol w:w="1041"/>
        <w:gridCol w:w="1336"/>
        <w:gridCol w:w="1121"/>
        <w:gridCol w:w="1336"/>
      </w:tblGrid>
      <w:tr w:rsidR="002D355F" w:rsidRPr="00F011FE" w:rsidTr="00F011FE">
        <w:trPr>
          <w:trHeight w:val="342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889" w:rsidRPr="00F011FE" w:rsidRDefault="009A1889" w:rsidP="00021449">
            <w:pPr>
              <w:pStyle w:val="ListParagraph"/>
              <w:ind w:left="0"/>
              <w:jc w:val="center"/>
              <w:rPr>
                <w:b/>
                <w:sz w:val="16"/>
                <w:u w:val="single"/>
              </w:rPr>
            </w:pPr>
            <w:r w:rsidRPr="00F011FE">
              <w:rPr>
                <w:b/>
                <w:sz w:val="16"/>
                <w:u w:val="single"/>
              </w:rPr>
              <w:t>Weekly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889" w:rsidRPr="00F011FE" w:rsidRDefault="009A1889" w:rsidP="00021449">
            <w:pPr>
              <w:pStyle w:val="ListParagraph"/>
              <w:ind w:left="0"/>
              <w:jc w:val="center"/>
              <w:rPr>
                <w:b/>
                <w:sz w:val="16"/>
                <w:u w:val="single"/>
              </w:rPr>
            </w:pPr>
            <w:r w:rsidRPr="00F011FE">
              <w:rPr>
                <w:b/>
                <w:sz w:val="16"/>
                <w:u w:val="single"/>
              </w:rPr>
              <w:t>Biweekly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889" w:rsidRPr="00F011FE" w:rsidRDefault="009A1889" w:rsidP="00021449">
            <w:pPr>
              <w:pStyle w:val="ListParagraph"/>
              <w:ind w:left="0"/>
              <w:jc w:val="center"/>
              <w:rPr>
                <w:b/>
                <w:sz w:val="16"/>
                <w:u w:val="single"/>
              </w:rPr>
            </w:pPr>
            <w:r w:rsidRPr="00F011FE">
              <w:rPr>
                <w:b/>
                <w:sz w:val="16"/>
                <w:u w:val="single"/>
              </w:rPr>
              <w:t>Semimonthly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889" w:rsidRPr="00F011FE" w:rsidRDefault="009A1889" w:rsidP="00021449">
            <w:pPr>
              <w:pStyle w:val="ListParagraph"/>
              <w:ind w:left="0"/>
              <w:jc w:val="center"/>
              <w:rPr>
                <w:b/>
                <w:sz w:val="16"/>
                <w:u w:val="single"/>
              </w:rPr>
            </w:pPr>
            <w:r w:rsidRPr="00F011FE">
              <w:rPr>
                <w:b/>
                <w:sz w:val="16"/>
                <w:u w:val="single"/>
              </w:rPr>
              <w:t>Monthly</w:t>
            </w:r>
          </w:p>
        </w:tc>
      </w:tr>
      <w:tr w:rsidR="00F011FE" w:rsidRPr="00F011FE" w:rsidTr="002D355F">
        <w:trPr>
          <w:trHeight w:val="350"/>
        </w:trPr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21449" w:rsidRPr="00F011FE" w:rsidRDefault="00021449" w:rsidP="0002144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F011FE">
              <w:rPr>
                <w:b/>
                <w:sz w:val="16"/>
              </w:rPr>
              <w:t>Wages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021449" w:rsidRPr="00F011FE" w:rsidRDefault="00021449" w:rsidP="0002144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F011FE">
              <w:rPr>
                <w:b/>
                <w:sz w:val="16"/>
              </w:rPr>
              <w:t>Garnishment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21449" w:rsidRPr="00F011FE" w:rsidRDefault="00021449" w:rsidP="0002144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F011FE">
              <w:rPr>
                <w:b/>
                <w:sz w:val="16"/>
              </w:rPr>
              <w:t>Wages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021449" w:rsidRPr="00F011FE" w:rsidRDefault="00021449" w:rsidP="0002144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F011FE">
              <w:rPr>
                <w:b/>
                <w:sz w:val="16"/>
              </w:rPr>
              <w:t>Garnishment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21449" w:rsidRPr="00F011FE" w:rsidRDefault="00021449" w:rsidP="0002144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F011FE">
              <w:rPr>
                <w:b/>
                <w:sz w:val="16"/>
              </w:rPr>
              <w:t>Wages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021449" w:rsidRPr="00F011FE" w:rsidRDefault="00021449" w:rsidP="0002144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F011FE">
              <w:rPr>
                <w:b/>
                <w:sz w:val="16"/>
              </w:rPr>
              <w:t>Garnishment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21449" w:rsidRPr="00F011FE" w:rsidRDefault="00021449" w:rsidP="0002144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F011FE">
              <w:rPr>
                <w:b/>
                <w:sz w:val="16"/>
              </w:rPr>
              <w:t>Wages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021449" w:rsidRPr="00F011FE" w:rsidRDefault="00021449" w:rsidP="00021449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F011FE">
              <w:rPr>
                <w:b/>
                <w:sz w:val="16"/>
              </w:rPr>
              <w:t>Garnishment</w:t>
            </w:r>
          </w:p>
        </w:tc>
      </w:tr>
      <w:tr w:rsidR="002D355F" w:rsidRPr="00F011FE" w:rsidTr="002D355F">
        <w:trPr>
          <w:trHeight w:val="350"/>
        </w:trPr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$217.50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$435.00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$471.25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$942.50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NONE</w:t>
            </w:r>
          </w:p>
        </w:tc>
      </w:tr>
      <w:tr w:rsidR="002D355F" w:rsidRPr="00F011FE" w:rsidTr="002D355F">
        <w:trPr>
          <w:trHeight w:val="350"/>
        </w:trPr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 xml:space="preserve">$270.50 to $290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Amount ABOVE $270.50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$435 to $580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21449" w:rsidRPr="00F011FE" w:rsidRDefault="00021449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Amount ABOVE $435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21449" w:rsidRPr="00F011FE" w:rsidRDefault="003043BD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$471.25 to $628.34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21449" w:rsidRPr="00F011FE" w:rsidRDefault="003043BD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Amount ABOVE $471.25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21449" w:rsidRPr="00F011FE" w:rsidRDefault="003043BD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$942.50 to $1256.67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21449" w:rsidRPr="00F011FE" w:rsidRDefault="003043BD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Amount ABOVE $942.50</w:t>
            </w:r>
          </w:p>
        </w:tc>
      </w:tr>
      <w:tr w:rsidR="002D355F" w:rsidRPr="00F011FE" w:rsidTr="002D355F">
        <w:trPr>
          <w:trHeight w:val="350"/>
        </w:trPr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21449" w:rsidRPr="00F011FE" w:rsidRDefault="003043BD" w:rsidP="00F1397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More than $290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21449" w:rsidRPr="00F011FE" w:rsidRDefault="003043BD" w:rsidP="00F1397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Up to 25%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21449" w:rsidRPr="00F011FE" w:rsidRDefault="002D355F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More than $580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21449" w:rsidRPr="00F011FE" w:rsidRDefault="002D355F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Up to 25%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21449" w:rsidRPr="00F011FE" w:rsidRDefault="002D355F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More than $628.34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21449" w:rsidRPr="00F011FE" w:rsidRDefault="002D355F" w:rsidP="00C464E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Up to 25%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21449" w:rsidRPr="00F011FE" w:rsidRDefault="002D355F" w:rsidP="00F1397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More than $1256.67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21449" w:rsidRPr="00F011FE" w:rsidRDefault="002D355F" w:rsidP="00F1397A">
            <w:pPr>
              <w:pStyle w:val="ListParagraph"/>
              <w:ind w:left="0"/>
              <w:rPr>
                <w:sz w:val="16"/>
              </w:rPr>
            </w:pPr>
            <w:r w:rsidRPr="00F011FE">
              <w:rPr>
                <w:sz w:val="16"/>
              </w:rPr>
              <w:t>Up to 25%</w:t>
            </w:r>
          </w:p>
        </w:tc>
      </w:tr>
    </w:tbl>
    <w:p w:rsidR="009A1889" w:rsidRPr="00F011FE" w:rsidRDefault="009A1889" w:rsidP="00F1397A">
      <w:pPr>
        <w:pStyle w:val="ListParagraph"/>
        <w:rPr>
          <w:sz w:val="20"/>
        </w:rPr>
      </w:pPr>
    </w:p>
    <w:p w:rsidR="000204DC" w:rsidRPr="00F011FE" w:rsidRDefault="000204DC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>Earned</w:t>
      </w:r>
      <w:r w:rsidR="000845C8">
        <w:rPr>
          <w:b/>
          <w:i/>
          <w:sz w:val="20"/>
        </w:rPr>
        <w:t xml:space="preserve"> but</w:t>
      </w:r>
      <w:r w:rsidRPr="00F011FE">
        <w:rPr>
          <w:b/>
          <w:i/>
          <w:sz w:val="20"/>
        </w:rPr>
        <w:t xml:space="preserve"> Unpaid Wages</w:t>
      </w:r>
      <w:r w:rsidR="00FF45F2">
        <w:rPr>
          <w:b/>
          <w:i/>
          <w:sz w:val="20"/>
        </w:rPr>
        <w:t>.</w:t>
      </w:r>
      <w:r w:rsidR="0068235C" w:rsidRPr="00F011FE">
        <w:rPr>
          <w:sz w:val="20"/>
        </w:rPr>
        <w:t xml:space="preserve"> </w:t>
      </w:r>
      <w:r w:rsidRPr="00F011FE">
        <w:rPr>
          <w:sz w:val="20"/>
        </w:rPr>
        <w:t>Total value cannot exceed $1,500 (I.C. § 11-605(11))</w:t>
      </w:r>
      <w:r w:rsidR="000915A5">
        <w:rPr>
          <w:sz w:val="20"/>
        </w:rPr>
        <w:t>.</w:t>
      </w:r>
    </w:p>
    <w:p w:rsidR="005B2D49" w:rsidRDefault="007A4AAE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>Public Assistance</w:t>
      </w:r>
      <w:r w:rsidR="00FF45F2">
        <w:rPr>
          <w:b/>
          <w:i/>
          <w:sz w:val="20"/>
        </w:rPr>
        <w:t>.</w:t>
      </w:r>
      <w:r w:rsidR="0086613B" w:rsidRPr="00F011FE">
        <w:rPr>
          <w:sz w:val="20"/>
        </w:rPr>
        <w:t xml:space="preserve"> All federal, state, and local public assistance you are receiving, including (but not limited to) </w:t>
      </w:r>
      <w:r w:rsidR="005B2D49">
        <w:rPr>
          <w:sz w:val="20"/>
        </w:rPr>
        <w:t>T</w:t>
      </w:r>
      <w:r w:rsidR="000915A5">
        <w:rPr>
          <w:sz w:val="20"/>
        </w:rPr>
        <w:t>A</w:t>
      </w:r>
      <w:r w:rsidR="005B2D49">
        <w:rPr>
          <w:sz w:val="20"/>
        </w:rPr>
        <w:t>NF, AAB</w:t>
      </w:r>
      <w:r w:rsidR="000915A5">
        <w:rPr>
          <w:sz w:val="20"/>
        </w:rPr>
        <w:t>D</w:t>
      </w:r>
      <w:r w:rsidR="005B2D49">
        <w:rPr>
          <w:sz w:val="20"/>
        </w:rPr>
        <w:t xml:space="preserve"> (Old Age </w:t>
      </w:r>
      <w:r w:rsidR="00F405EA">
        <w:rPr>
          <w:sz w:val="20"/>
        </w:rPr>
        <w:t>Assistance</w:t>
      </w:r>
      <w:r w:rsidR="005B2D49">
        <w:rPr>
          <w:sz w:val="20"/>
        </w:rPr>
        <w:t>, Aid to the Blind, Aid to Disabled), SNAP Benefits (food</w:t>
      </w:r>
      <w:r w:rsidR="000915A5">
        <w:rPr>
          <w:sz w:val="20"/>
        </w:rPr>
        <w:t xml:space="preserve"> </w:t>
      </w:r>
      <w:r w:rsidR="005B2D49">
        <w:rPr>
          <w:sz w:val="20"/>
        </w:rPr>
        <w:t>stamps), etc. (I.C. § 11-603(4))</w:t>
      </w:r>
    </w:p>
    <w:p w:rsidR="0068235C" w:rsidRPr="00F011FE" w:rsidRDefault="005B2D49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 xml:space="preserve"> </w:t>
      </w:r>
      <w:r w:rsidR="0068235C" w:rsidRPr="00F011FE">
        <w:rPr>
          <w:b/>
          <w:i/>
          <w:sz w:val="20"/>
        </w:rPr>
        <w:t>Social Security, SSI, SSDI</w:t>
      </w:r>
      <w:r w:rsidR="004E1B9A">
        <w:rPr>
          <w:i/>
          <w:sz w:val="20"/>
        </w:rPr>
        <w:t xml:space="preserve"> </w:t>
      </w:r>
      <w:r w:rsidR="004E1B9A">
        <w:rPr>
          <w:b/>
          <w:i/>
          <w:sz w:val="20"/>
        </w:rPr>
        <w:t>Retirement and Disability Benefit</w:t>
      </w:r>
      <w:r w:rsidR="00FF45F2">
        <w:rPr>
          <w:b/>
          <w:i/>
          <w:sz w:val="20"/>
        </w:rPr>
        <w:t>.</w:t>
      </w:r>
      <w:r w:rsidR="0068235C" w:rsidRPr="00F011FE">
        <w:rPr>
          <w:sz w:val="20"/>
        </w:rPr>
        <w:t xml:space="preserve"> (42 U.S.C. § 407)</w:t>
      </w:r>
    </w:p>
    <w:p w:rsidR="00CA4E02" w:rsidRPr="00CA4E02" w:rsidRDefault="00CA4E02" w:rsidP="00F1397A">
      <w:pPr>
        <w:pStyle w:val="ListParagraph"/>
        <w:numPr>
          <w:ilvl w:val="0"/>
          <w:numId w:val="2"/>
        </w:numPr>
        <w:rPr>
          <w:sz w:val="20"/>
        </w:rPr>
      </w:pPr>
      <w:r>
        <w:rPr>
          <w:b/>
          <w:i/>
          <w:sz w:val="20"/>
        </w:rPr>
        <w:t>Workers Compensatio</w:t>
      </w:r>
      <w:r w:rsidR="00FF45F2">
        <w:rPr>
          <w:b/>
          <w:i/>
          <w:sz w:val="20"/>
        </w:rPr>
        <w:t>n.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>(I.C. § 72-802, 5 U.S.C. § 8130)</w:t>
      </w:r>
    </w:p>
    <w:p w:rsidR="009936D8" w:rsidRPr="00F011FE" w:rsidRDefault="0086613B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>Employee Benefit</w:t>
      </w:r>
      <w:r w:rsidR="00FF45F2">
        <w:rPr>
          <w:b/>
          <w:i/>
          <w:sz w:val="20"/>
        </w:rPr>
        <w:t>s.</w:t>
      </w:r>
      <w:r w:rsidRPr="00F011FE">
        <w:rPr>
          <w:sz w:val="20"/>
        </w:rPr>
        <w:t xml:space="preserve"> Pensions, Annuities, Retirement Allowances, Disability Allowances, Death Be</w:t>
      </w:r>
      <w:r w:rsidR="000204DC" w:rsidRPr="00F011FE">
        <w:rPr>
          <w:sz w:val="20"/>
        </w:rPr>
        <w:t xml:space="preserve">nefits, </w:t>
      </w:r>
      <w:r w:rsidR="0068235C" w:rsidRPr="00F011FE">
        <w:rPr>
          <w:sz w:val="20"/>
        </w:rPr>
        <w:t xml:space="preserve">Profit Sharing Plans, Stock Bonus, </w:t>
      </w:r>
      <w:r w:rsidR="000204DC" w:rsidRPr="00F011FE">
        <w:rPr>
          <w:sz w:val="20"/>
        </w:rPr>
        <w:t xml:space="preserve">etc. (I.C. </w:t>
      </w:r>
      <w:r w:rsidR="00243EB8" w:rsidRPr="00F011FE">
        <w:rPr>
          <w:sz w:val="20"/>
        </w:rPr>
        <w:t xml:space="preserve">§ </w:t>
      </w:r>
      <w:r w:rsidR="000204DC" w:rsidRPr="00F011FE">
        <w:rPr>
          <w:sz w:val="20"/>
        </w:rPr>
        <w:t>11-604A(3))</w:t>
      </w:r>
    </w:p>
    <w:p w:rsidR="0086613B" w:rsidRPr="00F011FE" w:rsidRDefault="0086613B" w:rsidP="00F1397A">
      <w:pPr>
        <w:pStyle w:val="ListParagraph"/>
        <w:numPr>
          <w:ilvl w:val="0"/>
          <w:numId w:val="2"/>
        </w:numPr>
        <w:rPr>
          <w:i/>
          <w:sz w:val="20"/>
        </w:rPr>
      </w:pPr>
      <w:r w:rsidRPr="00F011FE">
        <w:rPr>
          <w:b/>
          <w:i/>
          <w:sz w:val="20"/>
        </w:rPr>
        <w:t>Retirement Benefits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Government Pensions, IRAs</w:t>
      </w:r>
      <w:r w:rsidR="000757DA" w:rsidRPr="00F011FE">
        <w:rPr>
          <w:sz w:val="20"/>
        </w:rPr>
        <w:t>, 401</w:t>
      </w:r>
      <w:r w:rsidR="00F405EA">
        <w:rPr>
          <w:sz w:val="20"/>
        </w:rPr>
        <w:t>(</w:t>
      </w:r>
      <w:r w:rsidR="000757DA" w:rsidRPr="00F011FE">
        <w:rPr>
          <w:sz w:val="20"/>
        </w:rPr>
        <w:t>k</w:t>
      </w:r>
      <w:r w:rsidR="00F405EA">
        <w:rPr>
          <w:sz w:val="20"/>
        </w:rPr>
        <w:t>) and 403(b)</w:t>
      </w:r>
      <w:r w:rsidR="000757DA" w:rsidRPr="00F011FE">
        <w:rPr>
          <w:sz w:val="20"/>
        </w:rPr>
        <w:t xml:space="preserve"> </w:t>
      </w:r>
      <w:r w:rsidR="007A4AAE" w:rsidRPr="00F011FE">
        <w:rPr>
          <w:sz w:val="20"/>
        </w:rPr>
        <w:t>accounts</w:t>
      </w:r>
      <w:r w:rsidR="0068235C" w:rsidRPr="00F011FE">
        <w:rPr>
          <w:sz w:val="20"/>
        </w:rPr>
        <w:t>. (I.C. § 11-604A)</w:t>
      </w:r>
    </w:p>
    <w:p w:rsidR="0068235C" w:rsidRPr="00F011FE" w:rsidRDefault="0068235C" w:rsidP="00F1397A">
      <w:pPr>
        <w:pStyle w:val="ListParagraph"/>
        <w:numPr>
          <w:ilvl w:val="0"/>
          <w:numId w:val="2"/>
        </w:numPr>
        <w:rPr>
          <w:i/>
          <w:sz w:val="20"/>
        </w:rPr>
      </w:pPr>
      <w:r w:rsidRPr="00F011FE">
        <w:rPr>
          <w:b/>
          <w:i/>
          <w:sz w:val="20"/>
        </w:rPr>
        <w:t>Military Retirement and Survivor’s Benefits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(</w:t>
      </w:r>
      <w:r w:rsidR="008F36D5">
        <w:rPr>
          <w:sz w:val="20"/>
        </w:rPr>
        <w:t>10 U.S.C. § 1450)</w:t>
      </w:r>
      <w:r w:rsidR="005A4C95">
        <w:rPr>
          <w:sz w:val="20"/>
        </w:rPr>
        <w:t xml:space="preserve"> </w:t>
      </w:r>
    </w:p>
    <w:p w:rsidR="00217525" w:rsidRPr="00F011FE" w:rsidRDefault="00217525" w:rsidP="00F1397A">
      <w:pPr>
        <w:pStyle w:val="ListParagraph"/>
        <w:numPr>
          <w:ilvl w:val="0"/>
          <w:numId w:val="2"/>
        </w:numPr>
        <w:rPr>
          <w:i/>
          <w:sz w:val="20"/>
        </w:rPr>
      </w:pPr>
      <w:r w:rsidRPr="00F011FE">
        <w:rPr>
          <w:b/>
          <w:i/>
          <w:sz w:val="20"/>
        </w:rPr>
        <w:t>Veteran’s Benefits</w:t>
      </w:r>
      <w:r w:rsidR="000915A5">
        <w:rPr>
          <w:b/>
          <w:i/>
          <w:sz w:val="20"/>
        </w:rPr>
        <w:t>.</w:t>
      </w:r>
      <w:r w:rsidR="00E72491" w:rsidRPr="00F011FE">
        <w:rPr>
          <w:sz w:val="20"/>
        </w:rPr>
        <w:t xml:space="preserve"> (38 U.S.C. §5301)</w:t>
      </w:r>
    </w:p>
    <w:p w:rsidR="007A4AAE" w:rsidRPr="00F011FE" w:rsidRDefault="007A4AAE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>Disability Benefits.</w:t>
      </w:r>
      <w:r w:rsidR="000915A5">
        <w:rPr>
          <w:b/>
          <w:i/>
          <w:sz w:val="20"/>
        </w:rPr>
        <w:t xml:space="preserve"> </w:t>
      </w:r>
      <w:r w:rsidR="00243EB8" w:rsidRPr="00F011FE">
        <w:rPr>
          <w:sz w:val="20"/>
        </w:rPr>
        <w:t>(I.C. § 11-604(1)(a))</w:t>
      </w:r>
      <w:r w:rsidR="00243EB8" w:rsidRPr="00F011FE">
        <w:rPr>
          <w:b/>
          <w:sz w:val="20"/>
        </w:rPr>
        <w:t>***</w:t>
      </w:r>
    </w:p>
    <w:p w:rsidR="007A4AAE" w:rsidRPr="00F011FE" w:rsidRDefault="007A4AAE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>Illness Benefits</w:t>
      </w:r>
      <w:r w:rsidR="00243EB8" w:rsidRPr="00F011FE">
        <w:rPr>
          <w:b/>
          <w:i/>
          <w:sz w:val="20"/>
        </w:rPr>
        <w:t>.</w:t>
      </w:r>
      <w:r w:rsidR="00243EB8" w:rsidRPr="00F011FE">
        <w:rPr>
          <w:sz w:val="20"/>
        </w:rPr>
        <w:t xml:space="preserve"> (I.C. § 11-604</w:t>
      </w:r>
      <w:r w:rsidR="00F405EA">
        <w:rPr>
          <w:sz w:val="20"/>
        </w:rPr>
        <w:t>(1)</w:t>
      </w:r>
      <w:r w:rsidR="00243EB8" w:rsidRPr="00F011FE">
        <w:rPr>
          <w:sz w:val="20"/>
        </w:rPr>
        <w:t>(a))</w:t>
      </w:r>
      <w:r w:rsidR="00243EB8" w:rsidRPr="00F011FE">
        <w:rPr>
          <w:b/>
          <w:sz w:val="20"/>
        </w:rPr>
        <w:t>***</w:t>
      </w:r>
    </w:p>
    <w:p w:rsidR="007A4AAE" w:rsidRPr="00F011FE" w:rsidRDefault="007A4AAE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>Alimony, Support, Maintenance.</w:t>
      </w:r>
      <w:r w:rsidR="00243EB8" w:rsidRPr="00F011FE">
        <w:rPr>
          <w:sz w:val="20"/>
        </w:rPr>
        <w:t xml:space="preserve"> (I.C. § 11-604(1)(b))</w:t>
      </w:r>
      <w:r w:rsidR="00243EB8" w:rsidRPr="00F011FE">
        <w:rPr>
          <w:b/>
          <w:sz w:val="20"/>
        </w:rPr>
        <w:t>***</w:t>
      </w:r>
    </w:p>
    <w:p w:rsidR="00243EB8" w:rsidRPr="00F011FE" w:rsidRDefault="00243EB8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 xml:space="preserve">Child Support Payments. </w:t>
      </w:r>
      <w:r w:rsidRPr="00F011FE">
        <w:rPr>
          <w:sz w:val="20"/>
        </w:rPr>
        <w:t>(I.C. § 11-604(1)(b))</w:t>
      </w:r>
      <w:r w:rsidRPr="00F011FE">
        <w:rPr>
          <w:b/>
          <w:sz w:val="20"/>
        </w:rPr>
        <w:t>***</w:t>
      </w:r>
    </w:p>
    <w:p w:rsidR="007A4AAE" w:rsidRPr="00F011FE" w:rsidRDefault="007A4AAE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>Awards/Proceeds from Personal Bodily Injury.</w:t>
      </w:r>
      <w:r w:rsidR="000915A5">
        <w:rPr>
          <w:b/>
          <w:i/>
          <w:sz w:val="20"/>
        </w:rPr>
        <w:t xml:space="preserve"> </w:t>
      </w:r>
      <w:r w:rsidR="00243EB8" w:rsidRPr="00F011FE">
        <w:rPr>
          <w:sz w:val="20"/>
        </w:rPr>
        <w:t>(I.C. § 11-604(1)(c))</w:t>
      </w:r>
      <w:r w:rsidR="00243EB8" w:rsidRPr="00F011FE">
        <w:rPr>
          <w:b/>
          <w:sz w:val="20"/>
        </w:rPr>
        <w:t>***</w:t>
      </w:r>
    </w:p>
    <w:p w:rsidR="007A4AAE" w:rsidRPr="00F011FE" w:rsidRDefault="007A4AAE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>Awards/Proceeds from Bodily Injury or Wrongful Death Payable to Dependent</w:t>
      </w:r>
      <w:r w:rsidR="000915A5">
        <w:rPr>
          <w:b/>
          <w:i/>
          <w:sz w:val="20"/>
        </w:rPr>
        <w:t>.</w:t>
      </w:r>
      <w:r w:rsidR="00243EB8" w:rsidRPr="00F011FE">
        <w:rPr>
          <w:sz w:val="20"/>
        </w:rPr>
        <w:t xml:space="preserve"> (I.C. § 11-604(1)(c))</w:t>
      </w:r>
      <w:r w:rsidR="00243EB8" w:rsidRPr="00F011FE">
        <w:rPr>
          <w:b/>
          <w:sz w:val="20"/>
        </w:rPr>
        <w:t>***</w:t>
      </w:r>
    </w:p>
    <w:p w:rsidR="00EE39F1" w:rsidRPr="00F011FE" w:rsidRDefault="007A4AAE" w:rsidP="00F1397A">
      <w:pPr>
        <w:pStyle w:val="ListParagraph"/>
        <w:numPr>
          <w:ilvl w:val="0"/>
          <w:numId w:val="2"/>
        </w:numPr>
        <w:rPr>
          <w:sz w:val="20"/>
        </w:rPr>
      </w:pPr>
      <w:r w:rsidRPr="00F011FE">
        <w:rPr>
          <w:b/>
          <w:i/>
          <w:sz w:val="20"/>
        </w:rPr>
        <w:t>Life Insurance Proceeds payable to Spouse or Dependent</w:t>
      </w:r>
      <w:r w:rsidR="00FF45F2">
        <w:rPr>
          <w:b/>
          <w:i/>
          <w:sz w:val="20"/>
        </w:rPr>
        <w:t>.</w:t>
      </w:r>
      <w:r w:rsidR="00243EB8" w:rsidRPr="00F011FE">
        <w:rPr>
          <w:sz w:val="20"/>
        </w:rPr>
        <w:t xml:space="preserve"> (I.C. § 11-604(1)(d))</w:t>
      </w:r>
      <w:r w:rsidR="00243EB8" w:rsidRPr="00F011FE">
        <w:rPr>
          <w:b/>
          <w:sz w:val="20"/>
        </w:rPr>
        <w:t>***</w:t>
      </w:r>
    </w:p>
    <w:p w:rsidR="00EE39F1" w:rsidRPr="00F011FE" w:rsidRDefault="00EE39F1" w:rsidP="00F1397A">
      <w:pPr>
        <w:rPr>
          <w:sz w:val="20"/>
        </w:rPr>
      </w:pPr>
      <w:r w:rsidRPr="00F011FE">
        <w:rPr>
          <w:b/>
          <w:sz w:val="20"/>
        </w:rPr>
        <w:t>PROPERTY</w:t>
      </w:r>
    </w:p>
    <w:p w:rsidR="00EE39F1" w:rsidRPr="00F011FE" w:rsidRDefault="00EE39F1" w:rsidP="00F1397A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Burial Plots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(I.C. § 11-603(1))</w:t>
      </w:r>
    </w:p>
    <w:p w:rsidR="005A4C95" w:rsidRPr="00F011FE" w:rsidRDefault="005A4C95" w:rsidP="005A4C95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Business/Work Items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Professional Books, Implements, Business Equipment, </w:t>
      </w:r>
      <w:proofErr w:type="gramStart"/>
      <w:r w:rsidRPr="00F011FE">
        <w:rPr>
          <w:sz w:val="20"/>
        </w:rPr>
        <w:t>Tools</w:t>
      </w:r>
      <w:proofErr w:type="gramEnd"/>
      <w:r w:rsidRPr="00F011FE">
        <w:rPr>
          <w:sz w:val="20"/>
        </w:rPr>
        <w:t xml:space="preserve"> of the Trade</w:t>
      </w:r>
      <w:r w:rsidR="00211632">
        <w:rPr>
          <w:sz w:val="20"/>
        </w:rPr>
        <w:t>:</w:t>
      </w:r>
      <w:r w:rsidRPr="00F011FE">
        <w:rPr>
          <w:sz w:val="20"/>
        </w:rPr>
        <w:t xml:space="preserve"> (Total value cannot exceed $2,500</w:t>
      </w:r>
      <w:r w:rsidR="000915A5">
        <w:rPr>
          <w:sz w:val="20"/>
        </w:rPr>
        <w:t>.</w:t>
      </w:r>
      <w:r w:rsidRPr="00F011FE">
        <w:rPr>
          <w:sz w:val="20"/>
        </w:rPr>
        <w:t>) (I.C. § 11-605(3))</w:t>
      </w:r>
    </w:p>
    <w:p w:rsidR="005A4C95" w:rsidRPr="005A4C95" w:rsidRDefault="005A4C95" w:rsidP="005A4C95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Firearm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Only 1 and the total value cannot exceed $750. (I.C. § 11-605(8))</w:t>
      </w:r>
    </w:p>
    <w:p w:rsidR="005A4C95" w:rsidRDefault="005A4C95" w:rsidP="005A4C95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Food and Water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12 month’s supply and storage. (I.C. §11-605(4))</w:t>
      </w:r>
    </w:p>
    <w:p w:rsidR="00EE39F1" w:rsidRPr="00F011FE" w:rsidRDefault="00EE39F1" w:rsidP="005A4C95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Health Aids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(I.C. § 11-603</w:t>
      </w:r>
      <w:r w:rsidR="007B116F">
        <w:rPr>
          <w:sz w:val="20"/>
        </w:rPr>
        <w:t>(</w:t>
      </w:r>
      <w:r w:rsidRPr="00F011FE">
        <w:rPr>
          <w:sz w:val="20"/>
        </w:rPr>
        <w:t>2))</w:t>
      </w:r>
    </w:p>
    <w:p w:rsidR="0068235C" w:rsidRPr="00F011FE" w:rsidRDefault="0068235C" w:rsidP="00F1397A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Homestead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House, Manufactured Home, Mobile Home, and Related Structures. (I.C. § 55-1001)</w:t>
      </w:r>
    </w:p>
    <w:p w:rsidR="000204DC" w:rsidRPr="00F011FE" w:rsidRDefault="000204DC" w:rsidP="00F1397A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Household Items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Furniture, Appliances, Family Heirlooms. (Total value cannot exceed $7,</w:t>
      </w:r>
      <w:r w:rsidR="0010112C" w:rsidRPr="00F011FE">
        <w:rPr>
          <w:sz w:val="20"/>
        </w:rPr>
        <w:t>500;</w:t>
      </w:r>
      <w:r w:rsidRPr="00F011FE">
        <w:rPr>
          <w:sz w:val="20"/>
        </w:rPr>
        <w:t xml:space="preserve"> value </w:t>
      </w:r>
      <w:r w:rsidR="0010112C" w:rsidRPr="00F011FE">
        <w:rPr>
          <w:sz w:val="20"/>
        </w:rPr>
        <w:t xml:space="preserve">per-item </w:t>
      </w:r>
      <w:r w:rsidRPr="00F011FE">
        <w:rPr>
          <w:sz w:val="20"/>
        </w:rPr>
        <w:t>cannot exceed $750</w:t>
      </w:r>
      <w:r w:rsidR="000915A5">
        <w:rPr>
          <w:sz w:val="20"/>
        </w:rPr>
        <w:t>.</w:t>
      </w:r>
      <w:r w:rsidRPr="00F011FE">
        <w:rPr>
          <w:sz w:val="20"/>
        </w:rPr>
        <w:t>) (I.C. § 11-605(1))</w:t>
      </w:r>
    </w:p>
    <w:p w:rsidR="005A4C95" w:rsidRPr="00F011FE" w:rsidRDefault="005A4C95" w:rsidP="005A4C95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Jewelry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Total value cannot exceed $1,000.</w:t>
      </w:r>
      <w:r>
        <w:rPr>
          <w:sz w:val="20"/>
        </w:rPr>
        <w:t xml:space="preserve"> (I.C. § 11-605(2))</w:t>
      </w:r>
    </w:p>
    <w:p w:rsidR="007A4AAE" w:rsidRPr="00F011FE" w:rsidRDefault="007A4AAE" w:rsidP="00F1397A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Police</w:t>
      </w:r>
      <w:r w:rsidRPr="00F011FE">
        <w:rPr>
          <w:sz w:val="20"/>
        </w:rPr>
        <w:t>/</w:t>
      </w:r>
      <w:r w:rsidRPr="00F011FE">
        <w:rPr>
          <w:b/>
          <w:i/>
          <w:sz w:val="20"/>
        </w:rPr>
        <w:t>Military Uniforms, Arms, Accouterments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(I.C. § 11-605(6))</w:t>
      </w:r>
    </w:p>
    <w:p w:rsidR="000204DC" w:rsidRPr="005A4C95" w:rsidRDefault="000204DC" w:rsidP="005A4C95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Vehicle</w:t>
      </w:r>
      <w:r w:rsidR="00FF45F2">
        <w:rPr>
          <w:b/>
          <w:i/>
          <w:sz w:val="20"/>
        </w:rPr>
        <w:t>.</w:t>
      </w:r>
      <w:r w:rsidR="00243EB8" w:rsidRPr="00F011FE">
        <w:rPr>
          <w:sz w:val="20"/>
        </w:rPr>
        <w:t xml:space="preserve"> </w:t>
      </w:r>
      <w:r w:rsidRPr="00F011FE">
        <w:rPr>
          <w:sz w:val="20"/>
        </w:rPr>
        <w:t>Only 1 and the total value cannot e</w:t>
      </w:r>
      <w:r w:rsidR="00243EB8" w:rsidRPr="00F011FE">
        <w:rPr>
          <w:sz w:val="20"/>
        </w:rPr>
        <w:t>xceed $7,000</w:t>
      </w:r>
      <w:r w:rsidRPr="00F011FE">
        <w:rPr>
          <w:sz w:val="20"/>
        </w:rPr>
        <w:t>. (I.C. § 11-605(3))</w:t>
      </w:r>
    </w:p>
    <w:p w:rsidR="0010112C" w:rsidRPr="00F011FE" w:rsidRDefault="00E651F4" w:rsidP="00F1397A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Miscellaneous (Tangible) Property</w:t>
      </w:r>
      <w:r w:rsidR="00FF45F2">
        <w:rPr>
          <w:b/>
          <w:i/>
          <w:sz w:val="20"/>
        </w:rPr>
        <w:t>.</w:t>
      </w:r>
      <w:r w:rsidR="00243EB8" w:rsidRPr="00F011FE">
        <w:rPr>
          <w:sz w:val="20"/>
        </w:rPr>
        <w:t xml:space="preserve"> Total value cannot exceed $800</w:t>
      </w:r>
      <w:r w:rsidR="000915A5">
        <w:rPr>
          <w:sz w:val="20"/>
        </w:rPr>
        <w:t>.</w:t>
      </w:r>
      <w:r w:rsidR="00243EB8" w:rsidRPr="00F011FE">
        <w:rPr>
          <w:sz w:val="20"/>
        </w:rPr>
        <w:t xml:space="preserve"> </w:t>
      </w:r>
      <w:r w:rsidRPr="00F011FE">
        <w:rPr>
          <w:sz w:val="20"/>
        </w:rPr>
        <w:t>(I.C. § 11-60</w:t>
      </w:r>
      <w:r w:rsidR="007B116F">
        <w:rPr>
          <w:sz w:val="20"/>
        </w:rPr>
        <w:t>5</w:t>
      </w:r>
      <w:r w:rsidRPr="00F011FE">
        <w:rPr>
          <w:sz w:val="20"/>
        </w:rPr>
        <w:t>(10))</w:t>
      </w:r>
    </w:p>
    <w:p w:rsidR="000A7C0F" w:rsidRDefault="00E651F4" w:rsidP="005A4C95">
      <w:pPr>
        <w:pStyle w:val="ListParagraph"/>
        <w:numPr>
          <w:ilvl w:val="0"/>
          <w:numId w:val="3"/>
        </w:numPr>
        <w:rPr>
          <w:sz w:val="20"/>
        </w:rPr>
      </w:pPr>
      <w:r w:rsidRPr="00F011FE">
        <w:rPr>
          <w:b/>
          <w:i/>
          <w:sz w:val="20"/>
        </w:rPr>
        <w:t>Life Insurance Contracts</w:t>
      </w:r>
      <w:r w:rsidR="00FF45F2">
        <w:rPr>
          <w:b/>
          <w:i/>
          <w:sz w:val="20"/>
        </w:rPr>
        <w:t>.</w:t>
      </w:r>
      <w:r w:rsidRPr="00F011FE">
        <w:rPr>
          <w:sz w:val="20"/>
        </w:rPr>
        <w:t xml:space="preserve"> Including interest, dividends, loan value, and cash surrender value</w:t>
      </w:r>
      <w:r w:rsidR="00616803" w:rsidRPr="00F011FE">
        <w:rPr>
          <w:sz w:val="20"/>
        </w:rPr>
        <w:t>. (I.C. § 11-605(9))</w:t>
      </w:r>
    </w:p>
    <w:p w:rsidR="00C22AB7" w:rsidRDefault="00C22AB7" w:rsidP="005A4C95">
      <w:pPr>
        <w:pStyle w:val="ListParagraph"/>
        <w:numPr>
          <w:ilvl w:val="0"/>
          <w:numId w:val="3"/>
        </w:numPr>
        <w:rPr>
          <w:sz w:val="20"/>
        </w:rPr>
      </w:pPr>
      <w:r w:rsidRPr="00C22AB7">
        <w:rPr>
          <w:b/>
          <w:i/>
          <w:sz w:val="20"/>
        </w:rPr>
        <w:t>Separate Real or Personal Property</w:t>
      </w:r>
      <w:r w:rsidR="00211632">
        <w:rPr>
          <w:sz w:val="20"/>
        </w:rPr>
        <w:t xml:space="preserve"> </w:t>
      </w:r>
      <w:r>
        <w:rPr>
          <w:sz w:val="20"/>
        </w:rPr>
        <w:t xml:space="preserve">owned at time of marriage or subsequently acquired and non-community rents and profits for separate debts incurred by spouse.  </w:t>
      </w:r>
      <w:r w:rsidRPr="00F011FE">
        <w:rPr>
          <w:sz w:val="20"/>
        </w:rPr>
        <w:t>(I.C. § 11-</w:t>
      </w:r>
      <w:r>
        <w:rPr>
          <w:sz w:val="20"/>
        </w:rPr>
        <w:t>2</w:t>
      </w:r>
      <w:r w:rsidRPr="00F011FE">
        <w:rPr>
          <w:sz w:val="20"/>
        </w:rPr>
        <w:t>0</w:t>
      </w:r>
      <w:r>
        <w:rPr>
          <w:sz w:val="20"/>
        </w:rPr>
        <w:t>4</w:t>
      </w:r>
      <w:r w:rsidRPr="00F011FE">
        <w:rPr>
          <w:sz w:val="20"/>
        </w:rPr>
        <w:t>)</w:t>
      </w:r>
    </w:p>
    <w:p w:rsidR="005C184F" w:rsidRDefault="00243EB8" w:rsidP="0093580B">
      <w:proofErr w:type="gramStart"/>
      <w:r w:rsidRPr="000A7C0F">
        <w:rPr>
          <w:sz w:val="20"/>
        </w:rPr>
        <w:t>***to the extent reasonably necessary for support.</w:t>
      </w:r>
      <w:proofErr w:type="gramEnd"/>
      <w:r w:rsidR="0093580B" w:rsidDel="0093580B">
        <w:t xml:space="preserve"> </w:t>
      </w:r>
    </w:p>
    <w:sectPr w:rsidR="005C184F" w:rsidSect="00EB2D22">
      <w:footerReference w:type="default" r:id="rId13"/>
      <w:pgSz w:w="12240" w:h="15840"/>
      <w:pgMar w:top="1152" w:right="1152" w:bottom="1152" w:left="1152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74" w:rsidRDefault="00994A74" w:rsidP="00243EB8">
      <w:pPr>
        <w:spacing w:after="0"/>
      </w:pPr>
      <w:r>
        <w:separator/>
      </w:r>
    </w:p>
  </w:endnote>
  <w:endnote w:type="continuationSeparator" w:id="0">
    <w:p w:rsidR="00994A74" w:rsidRDefault="00994A74" w:rsidP="00243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0B" w:rsidRDefault="0093580B" w:rsidP="0093580B">
    <w:pPr>
      <w:widowControl w:val="0"/>
      <w:tabs>
        <w:tab w:val="left" w:pos="1440"/>
        <w:tab w:val="left" w:pos="2160"/>
        <w:tab w:val="left" w:pos="4680"/>
      </w:tabs>
      <w:spacing w:after="0"/>
      <w:ind w:right="-720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napToGrid w:val="0"/>
        <w:sz w:val="20"/>
        <w:szCs w:val="20"/>
      </w:rPr>
      <w:t>NOTICE OF EXEMPTIONS</w:t>
    </w:r>
    <w:r w:rsidRPr="00294F44">
      <w:rPr>
        <w:rFonts w:ascii="Arial" w:hAnsi="Arial" w:cs="Arial"/>
        <w:snapToGrid w:val="0"/>
        <w:sz w:val="20"/>
        <w:szCs w:val="20"/>
      </w:rPr>
      <w:tab/>
      <w:t xml:space="preserve">                                                        </w:t>
    </w:r>
    <w:r w:rsidRPr="00294F44">
      <w:rPr>
        <w:rFonts w:ascii="Arial" w:hAnsi="Arial" w:cs="Arial"/>
        <w:snapToGrid w:val="0"/>
        <w:sz w:val="20"/>
        <w:szCs w:val="20"/>
      </w:rPr>
      <w:tab/>
      <w:t xml:space="preserve">PAGE </w:t>
    </w:r>
    <w:r w:rsidRPr="00294F44">
      <w:rPr>
        <w:rStyle w:val="PageNumber"/>
        <w:rFonts w:ascii="Arial" w:hAnsi="Arial" w:cs="Arial"/>
        <w:sz w:val="20"/>
        <w:szCs w:val="20"/>
      </w:rPr>
      <w:fldChar w:fldCharType="begin"/>
    </w:r>
    <w:r w:rsidRPr="00294F4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94F44">
      <w:rPr>
        <w:rStyle w:val="PageNumber"/>
        <w:rFonts w:ascii="Arial" w:hAnsi="Arial" w:cs="Arial"/>
        <w:sz w:val="20"/>
        <w:szCs w:val="20"/>
      </w:rPr>
      <w:fldChar w:fldCharType="separate"/>
    </w:r>
    <w:r w:rsidR="00EC1048">
      <w:rPr>
        <w:rStyle w:val="PageNumber"/>
        <w:rFonts w:ascii="Arial" w:hAnsi="Arial" w:cs="Arial"/>
        <w:noProof/>
        <w:sz w:val="20"/>
        <w:szCs w:val="20"/>
      </w:rPr>
      <w:t>1</w:t>
    </w:r>
    <w:r w:rsidRPr="00294F44">
      <w:rPr>
        <w:rStyle w:val="PageNumber"/>
        <w:rFonts w:ascii="Arial" w:hAnsi="Arial" w:cs="Arial"/>
        <w:sz w:val="20"/>
        <w:szCs w:val="20"/>
      </w:rPr>
      <w:fldChar w:fldCharType="end"/>
    </w:r>
  </w:p>
  <w:p w:rsidR="00EC0589" w:rsidRPr="00051D80" w:rsidRDefault="0093580B" w:rsidP="0093580B">
    <w:pPr>
      <w:pStyle w:val="Footer"/>
      <w:rPr>
        <w:sz w:val="16"/>
        <w:szCs w:val="16"/>
      </w:rPr>
    </w:pPr>
    <w:r w:rsidRPr="00051D80">
      <w:rPr>
        <w:rStyle w:val="PageNumber"/>
        <w:rFonts w:ascii="Arial" w:hAnsi="Arial" w:cs="Arial"/>
        <w:sz w:val="16"/>
        <w:szCs w:val="16"/>
      </w:rPr>
      <w:t xml:space="preserve">CAO </w:t>
    </w:r>
    <w:proofErr w:type="spellStart"/>
    <w:r w:rsidRPr="00051D80">
      <w:rPr>
        <w:rStyle w:val="PageNumber"/>
        <w:rFonts w:ascii="Arial" w:hAnsi="Arial" w:cs="Arial"/>
        <w:sz w:val="16"/>
        <w:szCs w:val="16"/>
      </w:rPr>
      <w:t>Cv</w:t>
    </w:r>
    <w:proofErr w:type="spellEnd"/>
    <w:r w:rsidRPr="00051D80">
      <w:rPr>
        <w:rStyle w:val="PageNumber"/>
        <w:rFonts w:ascii="Arial" w:hAnsi="Arial" w:cs="Arial"/>
        <w:sz w:val="16"/>
        <w:szCs w:val="16"/>
      </w:rPr>
      <w:t xml:space="preserve"> </w:t>
    </w:r>
    <w:r w:rsidRPr="0093580B">
      <w:rPr>
        <w:rStyle w:val="PageNumber"/>
        <w:rFonts w:ascii="Arial" w:hAnsi="Arial" w:cs="Arial"/>
        <w:sz w:val="16"/>
        <w:szCs w:val="16"/>
      </w:rPr>
      <w:t>10-1</w:t>
    </w:r>
    <w:r>
      <w:rPr>
        <w:rStyle w:val="PageNumber"/>
        <w:rFonts w:ascii="Arial" w:hAnsi="Arial" w:cs="Arial"/>
        <w:sz w:val="16"/>
        <w:szCs w:val="16"/>
      </w:rPr>
      <w:t>0</w:t>
    </w:r>
    <w:r w:rsidRPr="00051D80">
      <w:rPr>
        <w:rStyle w:val="PageNumber"/>
        <w:rFonts w:ascii="Arial" w:hAnsi="Arial" w:cs="Arial"/>
        <w:sz w:val="16"/>
        <w:szCs w:val="16"/>
      </w:rPr>
      <w:t xml:space="preserve"> 07/01/201</w:t>
    </w:r>
    <w:r w:rsidRPr="0093580B">
      <w:rPr>
        <w:rStyle w:val="PageNumber"/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74" w:rsidRDefault="00994A74" w:rsidP="00243EB8">
      <w:pPr>
        <w:spacing w:after="0"/>
      </w:pPr>
      <w:r>
        <w:separator/>
      </w:r>
    </w:p>
  </w:footnote>
  <w:footnote w:type="continuationSeparator" w:id="0">
    <w:p w:rsidR="00994A74" w:rsidRDefault="00994A74" w:rsidP="00243E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61E"/>
    <w:multiLevelType w:val="hybridMultilevel"/>
    <w:tmpl w:val="62E4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7519"/>
    <w:multiLevelType w:val="hybridMultilevel"/>
    <w:tmpl w:val="D252473C"/>
    <w:lvl w:ilvl="0" w:tplc="EB8624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6768"/>
    <w:multiLevelType w:val="hybridMultilevel"/>
    <w:tmpl w:val="06E6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0616"/>
    <w:multiLevelType w:val="hybridMultilevel"/>
    <w:tmpl w:val="7234D148"/>
    <w:lvl w:ilvl="0" w:tplc="4F2C9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B29C0"/>
    <w:multiLevelType w:val="hybridMultilevel"/>
    <w:tmpl w:val="9AEE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C2243"/>
    <w:multiLevelType w:val="hybridMultilevel"/>
    <w:tmpl w:val="0B4C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2389F"/>
    <w:multiLevelType w:val="hybridMultilevel"/>
    <w:tmpl w:val="4CD6F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318B"/>
    <w:multiLevelType w:val="hybridMultilevel"/>
    <w:tmpl w:val="153C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6295A"/>
    <w:multiLevelType w:val="hybridMultilevel"/>
    <w:tmpl w:val="C5389B80"/>
    <w:lvl w:ilvl="0" w:tplc="F38CD5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2729B"/>
    <w:multiLevelType w:val="hybridMultilevel"/>
    <w:tmpl w:val="B402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BD"/>
    <w:rsid w:val="000204DC"/>
    <w:rsid w:val="00021449"/>
    <w:rsid w:val="00044E37"/>
    <w:rsid w:val="00051D80"/>
    <w:rsid w:val="000757DA"/>
    <w:rsid w:val="000845C8"/>
    <w:rsid w:val="000901EF"/>
    <w:rsid w:val="000915A5"/>
    <w:rsid w:val="000A7C0F"/>
    <w:rsid w:val="000D2ED5"/>
    <w:rsid w:val="000D7BC2"/>
    <w:rsid w:val="0010112C"/>
    <w:rsid w:val="001656B3"/>
    <w:rsid w:val="00175F27"/>
    <w:rsid w:val="001B324C"/>
    <w:rsid w:val="001E7640"/>
    <w:rsid w:val="001F1DFC"/>
    <w:rsid w:val="0020002C"/>
    <w:rsid w:val="00211632"/>
    <w:rsid w:val="00217525"/>
    <w:rsid w:val="00243EB8"/>
    <w:rsid w:val="002608BD"/>
    <w:rsid w:val="002646F1"/>
    <w:rsid w:val="002757AB"/>
    <w:rsid w:val="002767E3"/>
    <w:rsid w:val="00285492"/>
    <w:rsid w:val="00290AF6"/>
    <w:rsid w:val="002C790D"/>
    <w:rsid w:val="002D355F"/>
    <w:rsid w:val="002F3B8E"/>
    <w:rsid w:val="003043BD"/>
    <w:rsid w:val="00321EF5"/>
    <w:rsid w:val="00323C2D"/>
    <w:rsid w:val="00342171"/>
    <w:rsid w:val="00360B7C"/>
    <w:rsid w:val="0038043F"/>
    <w:rsid w:val="00383F8E"/>
    <w:rsid w:val="00393196"/>
    <w:rsid w:val="003C1C92"/>
    <w:rsid w:val="003E76A2"/>
    <w:rsid w:val="00430659"/>
    <w:rsid w:val="00430C2D"/>
    <w:rsid w:val="00434582"/>
    <w:rsid w:val="004458C6"/>
    <w:rsid w:val="0045332A"/>
    <w:rsid w:val="004767BF"/>
    <w:rsid w:val="004837C2"/>
    <w:rsid w:val="00495177"/>
    <w:rsid w:val="004A53A1"/>
    <w:rsid w:val="004B0A0A"/>
    <w:rsid w:val="004B716E"/>
    <w:rsid w:val="004D6B13"/>
    <w:rsid w:val="004E1B9A"/>
    <w:rsid w:val="004F3E3A"/>
    <w:rsid w:val="005046A4"/>
    <w:rsid w:val="0051106A"/>
    <w:rsid w:val="00542434"/>
    <w:rsid w:val="00551BE3"/>
    <w:rsid w:val="00560FFB"/>
    <w:rsid w:val="0056275D"/>
    <w:rsid w:val="00592EAF"/>
    <w:rsid w:val="005A4C95"/>
    <w:rsid w:val="005B2D49"/>
    <w:rsid w:val="005C184F"/>
    <w:rsid w:val="00616803"/>
    <w:rsid w:val="0062290E"/>
    <w:rsid w:val="00641733"/>
    <w:rsid w:val="006417A4"/>
    <w:rsid w:val="00644CE5"/>
    <w:rsid w:val="00661359"/>
    <w:rsid w:val="0068235C"/>
    <w:rsid w:val="006C0D83"/>
    <w:rsid w:val="006C4732"/>
    <w:rsid w:val="006D4C55"/>
    <w:rsid w:val="006E075A"/>
    <w:rsid w:val="006F4B3F"/>
    <w:rsid w:val="006F4CC8"/>
    <w:rsid w:val="00705B34"/>
    <w:rsid w:val="00713590"/>
    <w:rsid w:val="00723943"/>
    <w:rsid w:val="0072469A"/>
    <w:rsid w:val="00736076"/>
    <w:rsid w:val="00755EE6"/>
    <w:rsid w:val="00766DA6"/>
    <w:rsid w:val="00772AAC"/>
    <w:rsid w:val="0077464A"/>
    <w:rsid w:val="007A1E19"/>
    <w:rsid w:val="007A4AAE"/>
    <w:rsid w:val="007B116F"/>
    <w:rsid w:val="00813729"/>
    <w:rsid w:val="008310BC"/>
    <w:rsid w:val="00865F73"/>
    <w:rsid w:val="0086613B"/>
    <w:rsid w:val="00876F05"/>
    <w:rsid w:val="00890CA9"/>
    <w:rsid w:val="008B4B19"/>
    <w:rsid w:val="008C7868"/>
    <w:rsid w:val="008F36D5"/>
    <w:rsid w:val="00920366"/>
    <w:rsid w:val="0093580B"/>
    <w:rsid w:val="009746CD"/>
    <w:rsid w:val="00977C69"/>
    <w:rsid w:val="009908AC"/>
    <w:rsid w:val="009936D8"/>
    <w:rsid w:val="00994A74"/>
    <w:rsid w:val="009A1889"/>
    <w:rsid w:val="009A5CFA"/>
    <w:rsid w:val="009A6149"/>
    <w:rsid w:val="009C2ADF"/>
    <w:rsid w:val="009D41A6"/>
    <w:rsid w:val="009F3BF8"/>
    <w:rsid w:val="009F5FE7"/>
    <w:rsid w:val="00A01941"/>
    <w:rsid w:val="00A034C1"/>
    <w:rsid w:val="00A325DD"/>
    <w:rsid w:val="00A57D05"/>
    <w:rsid w:val="00A65234"/>
    <w:rsid w:val="00A77228"/>
    <w:rsid w:val="00A83032"/>
    <w:rsid w:val="00AC5415"/>
    <w:rsid w:val="00AC5D5F"/>
    <w:rsid w:val="00AD4A43"/>
    <w:rsid w:val="00AF66C6"/>
    <w:rsid w:val="00B04C75"/>
    <w:rsid w:val="00B12070"/>
    <w:rsid w:val="00B16E27"/>
    <w:rsid w:val="00B522E7"/>
    <w:rsid w:val="00B86E5B"/>
    <w:rsid w:val="00BA0FBF"/>
    <w:rsid w:val="00BB0EBF"/>
    <w:rsid w:val="00BC1676"/>
    <w:rsid w:val="00BD2D6C"/>
    <w:rsid w:val="00BE1F47"/>
    <w:rsid w:val="00BE5E86"/>
    <w:rsid w:val="00C179A8"/>
    <w:rsid w:val="00C22AB7"/>
    <w:rsid w:val="00C464EA"/>
    <w:rsid w:val="00C621B8"/>
    <w:rsid w:val="00C822EC"/>
    <w:rsid w:val="00CA4E02"/>
    <w:rsid w:val="00CC772D"/>
    <w:rsid w:val="00CF385A"/>
    <w:rsid w:val="00CF79B9"/>
    <w:rsid w:val="00D16FD2"/>
    <w:rsid w:val="00D61A2F"/>
    <w:rsid w:val="00D677D0"/>
    <w:rsid w:val="00D7502E"/>
    <w:rsid w:val="00D82D03"/>
    <w:rsid w:val="00DF156C"/>
    <w:rsid w:val="00E33C43"/>
    <w:rsid w:val="00E43A5C"/>
    <w:rsid w:val="00E637E7"/>
    <w:rsid w:val="00E651F4"/>
    <w:rsid w:val="00E72491"/>
    <w:rsid w:val="00E93DD6"/>
    <w:rsid w:val="00EB2D22"/>
    <w:rsid w:val="00EC0589"/>
    <w:rsid w:val="00EC1048"/>
    <w:rsid w:val="00EC1C45"/>
    <w:rsid w:val="00EE1F62"/>
    <w:rsid w:val="00EE39F1"/>
    <w:rsid w:val="00EF1BBF"/>
    <w:rsid w:val="00F011FE"/>
    <w:rsid w:val="00F01EE6"/>
    <w:rsid w:val="00F1397A"/>
    <w:rsid w:val="00F405EA"/>
    <w:rsid w:val="00F81A4B"/>
    <w:rsid w:val="00FB4BC3"/>
    <w:rsid w:val="00FC2382"/>
    <w:rsid w:val="00FD3546"/>
    <w:rsid w:val="00FF45F2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3F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8B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8B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6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3E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3E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3E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EB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2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A1E19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93580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C1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3F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8B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8B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6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3E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3E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3E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EB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2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A1E19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93580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C1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aholegalai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aholegalaid.org/node/1564/execution-and-garnishment-judgm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rtselfhelp.idaho.gov/find-off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c.idaho.gov/ircp-n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F142-9651-4AD6-9529-7476A887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5660</Characters>
  <Application>Microsoft Office Word</Application>
  <DocSecurity>0</DocSecurity>
  <Lines>152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Francois</dc:creator>
  <cp:lastModifiedBy>Imelda Ramirez</cp:lastModifiedBy>
  <cp:revision>3</cp:revision>
  <cp:lastPrinted>2015-11-17T20:23:00Z</cp:lastPrinted>
  <dcterms:created xsi:type="dcterms:W3CDTF">2017-06-30T19:59:00Z</dcterms:created>
  <dcterms:modified xsi:type="dcterms:W3CDTF">2017-06-30T20:06:00Z</dcterms:modified>
</cp:coreProperties>
</file>