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u w:val="none"/>
        </w:rPr>
      </w:pPr>
      <w:bookmarkStart w:name="ICJI 929 Lewd Conduct With Minor Child U" w:id="1"/>
      <w:bookmarkEnd w:id="1"/>
      <w:r>
        <w:rPr>
          <w:b w:val="0"/>
          <w:u w:val="none"/>
        </w:rPr>
      </w:r>
      <w:r>
        <w:rPr>
          <w:u w:val="single"/>
        </w:rPr>
        <w:t>ICJI</w:t>
      </w:r>
      <w:r>
        <w:rPr>
          <w:spacing w:val="-4"/>
          <w:u w:val="single"/>
        </w:rPr>
        <w:t> </w:t>
      </w:r>
      <w:r>
        <w:rPr>
          <w:u w:val="single"/>
        </w:rPr>
        <w:t>929</w:t>
      </w:r>
      <w:r>
        <w:rPr>
          <w:spacing w:val="-1"/>
          <w:u w:val="single"/>
        </w:rPr>
        <w:t> </w:t>
      </w:r>
      <w:r>
        <w:rPr>
          <w:u w:val="single"/>
        </w:rPr>
        <w:t>Lewd</w:t>
      </w:r>
      <w:r>
        <w:rPr>
          <w:spacing w:val="-1"/>
          <w:u w:val="single"/>
        </w:rPr>
        <w:t> </w:t>
      </w:r>
      <w:r>
        <w:rPr>
          <w:u w:val="single"/>
        </w:rPr>
        <w:t>Conduct</w:t>
      </w:r>
      <w:r>
        <w:rPr>
          <w:spacing w:val="-2"/>
          <w:u w:val="single"/>
        </w:rPr>
        <w:t> </w:t>
      </w:r>
      <w:r>
        <w:rPr>
          <w:u w:val="single"/>
        </w:rPr>
        <w:t>With</w:t>
      </w:r>
      <w:r>
        <w:rPr>
          <w:spacing w:val="-1"/>
          <w:u w:val="single"/>
        </w:rPr>
        <w:t> </w:t>
      </w:r>
      <w:r>
        <w:rPr>
          <w:u w:val="single"/>
        </w:rPr>
        <w:t>Minor</w:t>
      </w:r>
      <w:r>
        <w:rPr>
          <w:spacing w:val="-3"/>
          <w:u w:val="single"/>
        </w:rPr>
        <w:t> </w:t>
      </w:r>
      <w:r>
        <w:rPr>
          <w:u w:val="single"/>
        </w:rPr>
        <w:t>Child</w:t>
      </w:r>
      <w:r>
        <w:rPr>
          <w:spacing w:val="-1"/>
          <w:u w:val="single"/>
        </w:rPr>
        <w:t> </w:t>
      </w:r>
      <w:r>
        <w:rPr>
          <w:u w:val="single"/>
        </w:rPr>
        <w:t>Under</w:t>
      </w:r>
      <w:r>
        <w:rPr>
          <w:spacing w:val="-2"/>
          <w:u w:val="single"/>
        </w:rPr>
        <w:t> Sixteen</w:t>
      </w:r>
    </w:p>
    <w:p>
      <w:pPr>
        <w:pStyle w:val="BodyText"/>
        <w:jc w:val="left"/>
        <w:rPr>
          <w:b/>
        </w:rPr>
      </w:pPr>
    </w:p>
    <w:p>
      <w:pPr>
        <w:pStyle w:val="BodyText"/>
        <w:ind w:left="2" w:right="360"/>
        <w:jc w:val="center"/>
      </w:pPr>
      <w:bookmarkStart w:name="INSTRUCTION NO." w:id="2"/>
      <w:bookmarkEnd w:id="2"/>
      <w:r>
        <w:rPr/>
      </w:r>
      <w:r>
        <w:rPr/>
        <w:t>INSTRUCTION</w:t>
      </w:r>
      <w:r>
        <w:rPr>
          <w:spacing w:val="-9"/>
        </w:rPr>
        <w:t> </w:t>
      </w:r>
      <w:r>
        <w:rPr>
          <w:spacing w:val="-5"/>
        </w:rPr>
        <w:t>NO.</w:t>
      </w:r>
    </w:p>
    <w:p>
      <w:pPr>
        <w:pStyle w:val="BodyText"/>
        <w:jc w:val="left"/>
      </w:pPr>
    </w:p>
    <w:p>
      <w:pPr>
        <w:pStyle w:val="BodyText"/>
        <w:ind w:right="356" w:firstLine="720"/>
      </w:pPr>
      <w:r>
        <w:rPr>
          <w:spacing w:val="-4"/>
        </w:rPr>
        <w:t>In order for the defendant to be guilty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Lewd</w:t>
      </w:r>
      <w:r>
        <w:rPr>
          <w:spacing w:val="-10"/>
        </w:rPr>
        <w:t> </w:t>
      </w:r>
      <w:r>
        <w:rPr>
          <w:spacing w:val="-4"/>
        </w:rPr>
        <w:t>Conduct</w:t>
      </w:r>
      <w:r>
        <w:rPr>
          <w:spacing w:val="-8"/>
        </w:rPr>
        <w:t> </w:t>
      </w:r>
      <w:r>
        <w:rPr>
          <w:spacing w:val="-4"/>
        </w:rPr>
        <w:t>With</w:t>
      </w:r>
      <w:r>
        <w:rPr>
          <w:spacing w:val="-9"/>
        </w:rPr>
        <w:t> </w:t>
      </w:r>
      <w:r>
        <w:rPr>
          <w:spacing w:val="-4"/>
        </w:rPr>
        <w:t>Minor</w:t>
      </w:r>
      <w:r>
        <w:rPr>
          <w:spacing w:val="-10"/>
        </w:rPr>
        <w:t> </w:t>
      </w:r>
      <w:r>
        <w:rPr>
          <w:spacing w:val="-4"/>
        </w:rPr>
        <w:t>Child</w:t>
      </w:r>
      <w:r>
        <w:rPr>
          <w:spacing w:val="-11"/>
        </w:rPr>
        <w:t> </w:t>
      </w:r>
      <w:r>
        <w:rPr>
          <w:spacing w:val="-4"/>
        </w:rPr>
        <w:t>Under</w:t>
      </w:r>
      <w:r>
        <w:rPr>
          <w:spacing w:val="-9"/>
        </w:rPr>
        <w:t> </w:t>
      </w:r>
      <w:r>
        <w:rPr>
          <w:spacing w:val="-4"/>
        </w:rPr>
        <w:t>Sixteen,</w:t>
      </w:r>
      <w:r>
        <w:rPr>
          <w:spacing w:val="-10"/>
        </w:rPr>
        <w:t> </w:t>
      </w:r>
      <w:r>
        <w:rPr>
          <w:spacing w:val="-4"/>
        </w:rPr>
        <w:t>the </w:t>
      </w:r>
      <w:r>
        <w:rPr/>
        <w:t>State must prove each of the following: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0" w:after="0"/>
        <w:ind w:left="960" w:right="0" w:hanging="240"/>
        <w:jc w:val="both"/>
        <w:rPr>
          <w:sz w:val="24"/>
        </w:rPr>
      </w:pP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about </w:t>
      </w:r>
      <w:r>
        <w:rPr>
          <w:spacing w:val="-2"/>
          <w:sz w:val="24"/>
        </w:rPr>
        <w:t>[date]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0" w:after="0"/>
        <w:ind w:left="960" w:right="0" w:hanging="240"/>
        <w:jc w:val="both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state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Idaho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40" w:lineRule="auto" w:before="0" w:after="0"/>
        <w:ind w:left="-1" w:right="357" w:firstLine="720"/>
        <w:jc w:val="both"/>
        <w:rPr>
          <w:sz w:val="24"/>
        </w:rPr>
      </w:pPr>
      <w:r>
        <w:rPr>
          <w:sz w:val="24"/>
        </w:rPr>
        <w:t>[the defendant [name] committed [an act of] [genital-genital contact] [or] [oral-genital contact]</w:t>
      </w:r>
      <w:r>
        <w:rPr>
          <w:spacing w:val="-7"/>
          <w:sz w:val="24"/>
        </w:rPr>
        <w:t> </w:t>
      </w:r>
      <w:r>
        <w:rPr>
          <w:sz w:val="24"/>
        </w:rPr>
        <w:t>[or]</w:t>
      </w:r>
      <w:r>
        <w:rPr>
          <w:spacing w:val="-7"/>
          <w:sz w:val="24"/>
        </w:rPr>
        <w:t> </w:t>
      </w:r>
      <w:r>
        <w:rPr>
          <w:sz w:val="24"/>
        </w:rPr>
        <w:t>[anal-genital</w:t>
      </w:r>
      <w:r>
        <w:rPr>
          <w:spacing w:val="-5"/>
          <w:sz w:val="24"/>
        </w:rPr>
        <w:t> </w:t>
      </w:r>
      <w:r>
        <w:rPr>
          <w:sz w:val="24"/>
        </w:rPr>
        <w:t>contact]</w:t>
      </w:r>
      <w:r>
        <w:rPr>
          <w:spacing w:val="-7"/>
          <w:sz w:val="24"/>
        </w:rPr>
        <w:t> </w:t>
      </w:r>
      <w:r>
        <w:rPr>
          <w:sz w:val="24"/>
        </w:rPr>
        <w:t>[or]</w:t>
      </w:r>
      <w:r>
        <w:rPr>
          <w:spacing w:val="-7"/>
          <w:sz w:val="24"/>
        </w:rPr>
        <w:t> </w:t>
      </w:r>
      <w:r>
        <w:rPr>
          <w:sz w:val="24"/>
        </w:rPr>
        <w:t>oral-anal</w:t>
      </w:r>
      <w:r>
        <w:rPr>
          <w:spacing w:val="-5"/>
          <w:sz w:val="24"/>
        </w:rPr>
        <w:t> </w:t>
      </w:r>
      <w:r>
        <w:rPr>
          <w:sz w:val="24"/>
        </w:rPr>
        <w:t>contact]</w:t>
      </w:r>
      <w:r>
        <w:rPr>
          <w:spacing w:val="-7"/>
          <w:sz w:val="24"/>
        </w:rPr>
        <w:t> </w:t>
      </w:r>
      <w:r>
        <w:rPr>
          <w:sz w:val="24"/>
        </w:rPr>
        <w:t>[or]</w:t>
      </w:r>
      <w:r>
        <w:rPr>
          <w:spacing w:val="-7"/>
          <w:sz w:val="24"/>
        </w:rPr>
        <w:t> </w:t>
      </w:r>
      <w:r>
        <w:rPr>
          <w:sz w:val="24"/>
        </w:rPr>
        <w:t>[manual-anal</w:t>
      </w:r>
      <w:r>
        <w:rPr>
          <w:spacing w:val="-3"/>
          <w:sz w:val="24"/>
        </w:rPr>
        <w:t> </w:t>
      </w:r>
      <w:r>
        <w:rPr>
          <w:sz w:val="24"/>
        </w:rPr>
        <w:t>contact]</w:t>
      </w:r>
      <w:r>
        <w:rPr>
          <w:spacing w:val="-7"/>
          <w:sz w:val="24"/>
        </w:rPr>
        <w:t> </w:t>
      </w:r>
      <w:r>
        <w:rPr>
          <w:sz w:val="24"/>
        </w:rPr>
        <w:t>[or]</w:t>
      </w:r>
      <w:r>
        <w:rPr>
          <w:spacing w:val="-7"/>
          <w:sz w:val="24"/>
        </w:rPr>
        <w:t> </w:t>
      </w:r>
      <w:r>
        <w:rPr>
          <w:sz w:val="24"/>
        </w:rPr>
        <w:t>[manual-genital contact] [or] [any other] [a] [lewd or lascivious act] upon or with the body of [name or initials of victim],]</w:t>
      </w:r>
    </w:p>
    <w:p>
      <w:pPr>
        <w:pStyle w:val="BodyText"/>
        <w:jc w:val="left"/>
      </w:pPr>
    </w:p>
    <w:p>
      <w:pPr>
        <w:pStyle w:val="BodyText"/>
        <w:ind w:right="360"/>
        <w:jc w:val="center"/>
      </w:pPr>
      <w:r>
        <w:rPr>
          <w:spacing w:val="-4"/>
        </w:rPr>
        <w:t>[or]</w:t>
      </w:r>
    </w:p>
    <w:p>
      <w:pPr>
        <w:pStyle w:val="BodyText"/>
        <w:jc w:val="left"/>
      </w:pPr>
    </w:p>
    <w:p>
      <w:pPr>
        <w:pStyle w:val="BodyText"/>
        <w:ind w:left="-1" w:right="359"/>
      </w:pPr>
      <w:r>
        <w:rPr/>
        <w:t>[the defendant [name] involved [name of victim] in an act of [bestiality] [or] [sado-masochistic </w:t>
      </w:r>
      <w:r>
        <w:rPr>
          <w:spacing w:val="-2"/>
        </w:rPr>
        <w:t>abuse]]</w:t>
      </w:r>
    </w:p>
    <w:p>
      <w:pPr>
        <w:pStyle w:val="BodyText"/>
        <w:jc w:val="left"/>
      </w:pP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0" w:after="0"/>
        <w:ind w:left="960" w:right="0" w:hanging="240"/>
        <w:jc w:val="both"/>
        <w:rPr>
          <w:sz w:val="24"/>
        </w:rPr>
      </w:pPr>
      <w:r>
        <w:rPr>
          <w:sz w:val="24"/>
        </w:rPr>
        <w:t>[name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initials of</w:t>
      </w:r>
      <w:r>
        <w:rPr>
          <w:spacing w:val="-2"/>
          <w:sz w:val="24"/>
        </w:rPr>
        <w:t> </w:t>
      </w:r>
      <w:r>
        <w:rPr>
          <w:sz w:val="24"/>
        </w:rPr>
        <w:t>victim]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child</w:t>
      </w:r>
      <w:r>
        <w:rPr>
          <w:spacing w:val="-1"/>
          <w:sz w:val="24"/>
        </w:rPr>
        <w:t> </w:t>
      </w:r>
      <w:r>
        <w:rPr>
          <w:sz w:val="24"/>
        </w:rPr>
        <w:t>under</w:t>
      </w:r>
      <w:r>
        <w:rPr>
          <w:spacing w:val="-2"/>
          <w:sz w:val="24"/>
        </w:rPr>
        <w:t> </w:t>
      </w:r>
      <w:r>
        <w:rPr>
          <w:sz w:val="24"/>
        </w:rPr>
        <w:t>sixteen (16)</w:t>
      </w:r>
      <w:r>
        <w:rPr>
          <w:spacing w:val="-2"/>
          <w:sz w:val="24"/>
        </w:rPr>
        <w:t> </w:t>
      </w:r>
      <w:r>
        <w:rPr>
          <w:sz w:val="24"/>
        </w:rPr>
        <w:t>years of</w:t>
      </w:r>
      <w:r>
        <w:rPr>
          <w:spacing w:val="-2"/>
          <w:sz w:val="24"/>
        </w:rPr>
        <w:t> </w:t>
      </w:r>
      <w:r>
        <w:rPr>
          <w:sz w:val="24"/>
        </w:rPr>
        <w:t>age,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0"/>
          <w:numId w:val="1"/>
        </w:numPr>
        <w:tabs>
          <w:tab w:pos="945" w:val="left" w:leader="none"/>
        </w:tabs>
        <w:spacing w:line="240" w:lineRule="auto" w:before="0" w:after="0"/>
        <w:ind w:left="0" w:right="354" w:firstLine="720"/>
        <w:jc w:val="both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defendant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[committed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such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act]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[or]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[involved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such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child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such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act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[bestiality]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[or] </w:t>
      </w:r>
      <w:r>
        <w:rPr>
          <w:sz w:val="24"/>
        </w:rPr>
        <w:t>[sado-masochistic</w:t>
      </w:r>
      <w:r>
        <w:rPr>
          <w:spacing w:val="-14"/>
          <w:sz w:val="24"/>
        </w:rPr>
        <w:t> </w:t>
      </w:r>
      <w:r>
        <w:rPr>
          <w:sz w:val="24"/>
        </w:rPr>
        <w:t>abuse]</w:t>
      </w:r>
      <w:r>
        <w:rPr>
          <w:spacing w:val="-11"/>
          <w:sz w:val="24"/>
        </w:rPr>
        <w:t> </w:t>
      </w:r>
      <w:r>
        <w:rPr>
          <w:sz w:val="24"/>
        </w:rPr>
        <w:t>with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specific</w:t>
      </w:r>
      <w:r>
        <w:rPr>
          <w:spacing w:val="-14"/>
          <w:sz w:val="24"/>
        </w:rPr>
        <w:t> </w:t>
      </w:r>
      <w:r>
        <w:rPr>
          <w:sz w:val="24"/>
        </w:rPr>
        <w:t>intent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arouse,</w:t>
      </w:r>
      <w:r>
        <w:rPr>
          <w:spacing w:val="-13"/>
          <w:sz w:val="24"/>
        </w:rPr>
        <w:t> </w:t>
      </w:r>
      <w:r>
        <w:rPr>
          <w:sz w:val="24"/>
        </w:rPr>
        <w:t>appeal</w:t>
      </w:r>
      <w:r>
        <w:rPr>
          <w:spacing w:val="-13"/>
          <w:sz w:val="24"/>
        </w:rPr>
        <w:t> </w:t>
      </w:r>
      <w:r>
        <w:rPr>
          <w:sz w:val="24"/>
        </w:rPr>
        <w:t>to,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gratify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lust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passions or sexual desires of the defendant, of such child, or of some other person.</w:t>
      </w:r>
    </w:p>
    <w:p>
      <w:pPr>
        <w:pStyle w:val="BodyText"/>
        <w:jc w:val="left"/>
      </w:pPr>
    </w:p>
    <w:p>
      <w:pPr>
        <w:pStyle w:val="BodyText"/>
        <w:ind w:right="355" w:firstLine="720"/>
      </w:pPr>
      <w:r>
        <w:rPr/>
        <w:t>If any of the above has not been proven beyond a reasonable doubt, you must find the defendant not guilty.</w:t>
      </w:r>
      <w:r>
        <w:rPr>
          <w:spacing w:val="40"/>
        </w:rPr>
        <w:t> </w:t>
      </w:r>
      <w:r>
        <w:rPr/>
        <w:t>If each of the above has been proven beyond a reasonable doubt, then you must find the defendant guilty.</w:t>
      </w:r>
    </w:p>
    <w:p>
      <w:pPr>
        <w:pStyle w:val="BodyText"/>
        <w:jc w:val="left"/>
      </w:pPr>
    </w:p>
    <w:p>
      <w:pPr>
        <w:pStyle w:val="BodyText"/>
        <w:ind w:left="4" w:right="360"/>
        <w:jc w:val="center"/>
      </w:pPr>
      <w:bookmarkStart w:name="Comment" w:id="3"/>
      <w:bookmarkEnd w:id="3"/>
      <w:r>
        <w:rPr/>
      </w:r>
      <w:r>
        <w:rPr>
          <w:spacing w:val="-2"/>
          <w:u w:val="single"/>
        </w:rPr>
        <w:t>Comment</w:t>
      </w:r>
    </w:p>
    <w:p>
      <w:pPr>
        <w:pStyle w:val="BodyText"/>
        <w:jc w:val="left"/>
      </w:pPr>
    </w:p>
    <w:p>
      <w:pPr>
        <w:pStyle w:val="BodyText"/>
        <w:spacing w:before="1"/>
        <w:jc w:val="left"/>
      </w:pPr>
      <w:bookmarkStart w:name="I.C. § 18–1508." w:id="4"/>
      <w:bookmarkEnd w:id="4"/>
      <w:r>
        <w:rPr/>
      </w:r>
      <w:r>
        <w:rPr/>
        <w:t>I.C.</w:t>
      </w:r>
      <w:r>
        <w:rPr>
          <w:spacing w:val="-2"/>
        </w:rPr>
        <w:t> </w:t>
      </w:r>
      <w:r>
        <w:rPr/>
        <w:t>§</w:t>
      </w:r>
      <w:r>
        <w:rPr>
          <w:spacing w:val="-2"/>
        </w:rPr>
        <w:t> </w:t>
      </w:r>
      <w:r>
        <w:rPr/>
        <w:t>18–</w:t>
      </w:r>
      <w:r>
        <w:rPr>
          <w:spacing w:val="-2"/>
        </w:rPr>
        <w:t>1508.</w:t>
      </w:r>
    </w:p>
    <w:p>
      <w:pPr>
        <w:pStyle w:val="BodyText"/>
        <w:spacing w:before="276"/>
        <w:ind w:right="358"/>
      </w:pPr>
      <w:r>
        <w:rPr/>
        <w:t>The alleged act(s) in element 3 must match the alleged act(s) in the charging document. </w:t>
      </w:r>
      <w:r>
        <w:rPr>
          <w:i/>
        </w:rPr>
        <w:t>State v.</w:t>
      </w:r>
      <w:r>
        <w:rPr>
          <w:i/>
        </w:rPr>
        <w:t> Folk</w:t>
      </w:r>
      <w:r>
        <w:rPr/>
        <w:t>,</w:t>
      </w:r>
      <w:r>
        <w:rPr>
          <w:spacing w:val="-15"/>
        </w:rPr>
        <w:t> </w:t>
      </w:r>
      <w:r>
        <w:rPr/>
        <w:t>151</w:t>
      </w:r>
      <w:r>
        <w:rPr>
          <w:spacing w:val="-15"/>
        </w:rPr>
        <w:t> </w:t>
      </w:r>
      <w:r>
        <w:rPr/>
        <w:t>Idaho</w:t>
      </w:r>
      <w:r>
        <w:rPr>
          <w:spacing w:val="-15"/>
        </w:rPr>
        <w:t> </w:t>
      </w:r>
      <w:r>
        <w:rPr/>
        <w:t>327,</w:t>
      </w:r>
      <w:r>
        <w:rPr>
          <w:spacing w:val="-15"/>
        </w:rPr>
        <w:t> </w:t>
      </w:r>
      <w:r>
        <w:rPr/>
        <w:t>342,</w:t>
      </w:r>
      <w:r>
        <w:rPr>
          <w:spacing w:val="-15"/>
        </w:rPr>
        <w:t> </w:t>
      </w:r>
      <w:r>
        <w:rPr/>
        <w:t>256</w:t>
      </w:r>
      <w:r>
        <w:rPr>
          <w:spacing w:val="-15"/>
        </w:rPr>
        <w:t> </w:t>
      </w:r>
      <w:r>
        <w:rPr/>
        <w:t>P.3d</w:t>
      </w:r>
      <w:r>
        <w:rPr>
          <w:spacing w:val="-15"/>
        </w:rPr>
        <w:t> </w:t>
      </w:r>
      <w:r>
        <w:rPr/>
        <w:t>735,</w:t>
      </w:r>
      <w:r>
        <w:rPr>
          <w:spacing w:val="-15"/>
        </w:rPr>
        <w:t> </w:t>
      </w:r>
      <w:r>
        <w:rPr/>
        <w:t>750</w:t>
      </w:r>
      <w:r>
        <w:rPr>
          <w:spacing w:val="-15"/>
        </w:rPr>
        <w:t> </w:t>
      </w:r>
      <w:r>
        <w:rPr/>
        <w:t>(2011);</w:t>
      </w:r>
      <w:r>
        <w:rPr>
          <w:spacing w:val="-15"/>
        </w:rPr>
        <w:t> </w:t>
      </w:r>
      <w:r>
        <w:rPr>
          <w:i/>
        </w:rPr>
        <w:t>State</w:t>
      </w:r>
      <w:r>
        <w:rPr>
          <w:i/>
          <w:spacing w:val="-16"/>
        </w:rPr>
        <w:t> </w:t>
      </w:r>
      <w:r>
        <w:rPr>
          <w:i/>
        </w:rPr>
        <w:t>v.</w:t>
      </w:r>
      <w:r>
        <w:rPr>
          <w:i/>
          <w:spacing w:val="-15"/>
        </w:rPr>
        <w:t> </w:t>
      </w:r>
      <w:r>
        <w:rPr>
          <w:i/>
        </w:rPr>
        <w:t>Day</w:t>
      </w:r>
      <w:r>
        <w:rPr/>
        <w:t>,</w:t>
      </w:r>
      <w:r>
        <w:rPr>
          <w:spacing w:val="-15"/>
        </w:rPr>
        <w:t> </w:t>
      </w:r>
      <w:r>
        <w:rPr/>
        <w:t>154</w:t>
      </w:r>
      <w:r>
        <w:rPr>
          <w:spacing w:val="-15"/>
        </w:rPr>
        <w:t> </w:t>
      </w:r>
      <w:r>
        <w:rPr/>
        <w:t>Idaho</w:t>
      </w:r>
      <w:r>
        <w:rPr>
          <w:spacing w:val="-15"/>
        </w:rPr>
        <w:t> </w:t>
      </w:r>
      <w:r>
        <w:rPr/>
        <w:t>476,</w:t>
      </w:r>
      <w:r>
        <w:rPr>
          <w:spacing w:val="-15"/>
        </w:rPr>
        <w:t> </w:t>
      </w:r>
      <w:r>
        <w:rPr/>
        <w:t>480–81,</w:t>
      </w:r>
      <w:r>
        <w:rPr>
          <w:spacing w:val="-15"/>
        </w:rPr>
        <w:t> </w:t>
      </w:r>
      <w:r>
        <w:rPr/>
        <w:t>299</w:t>
      </w:r>
      <w:r>
        <w:rPr>
          <w:spacing w:val="-15"/>
        </w:rPr>
        <w:t> </w:t>
      </w:r>
      <w:r>
        <w:rPr>
          <w:spacing w:val="-4"/>
        </w:rPr>
        <w:t>P.3d</w:t>
      </w:r>
    </w:p>
    <w:p>
      <w:pPr>
        <w:pStyle w:val="BodyText"/>
        <w:ind w:left="-1" w:right="358"/>
      </w:pPr>
      <w:r>
        <w:rPr/>
        <w:t>788, 792–93 (Ct. App. 2013).</w:t>
      </w:r>
      <w:r>
        <w:rPr>
          <w:spacing w:val="40"/>
        </w:rPr>
        <w:t> </w:t>
      </w:r>
      <w:r>
        <w:rPr/>
        <w:t>The bracketed language “or any other lewd or lascivious act” in element</w:t>
      </w:r>
      <w:r>
        <w:rPr>
          <w:spacing w:val="-14"/>
        </w:rPr>
        <w:t> </w:t>
      </w:r>
      <w:r>
        <w:rPr/>
        <w:t>3</w:t>
      </w:r>
      <w:r>
        <w:rPr>
          <w:spacing w:val="-12"/>
        </w:rPr>
        <w:t> </w:t>
      </w:r>
      <w:r>
        <w:rPr/>
        <w:t>should</w:t>
      </w:r>
      <w:r>
        <w:rPr>
          <w:spacing w:val="-14"/>
        </w:rPr>
        <w:t> </w:t>
      </w:r>
      <w:r>
        <w:rPr/>
        <w:t>only</w:t>
      </w:r>
      <w:r>
        <w:rPr>
          <w:spacing w:val="-14"/>
        </w:rPr>
        <w:t> </w:t>
      </w:r>
      <w:r>
        <w:rPr/>
        <w:t>be</w:t>
      </w:r>
      <w:r>
        <w:rPr>
          <w:spacing w:val="-11"/>
        </w:rPr>
        <w:t> </w:t>
      </w:r>
      <w:r>
        <w:rPr/>
        <w:t>included</w:t>
      </w:r>
      <w:r>
        <w:rPr>
          <w:spacing w:val="-14"/>
        </w:rPr>
        <w:t> </w:t>
      </w:r>
      <w:r>
        <w:rPr/>
        <w:t>when</w:t>
      </w:r>
      <w:r>
        <w:rPr>
          <w:spacing w:val="-12"/>
        </w:rPr>
        <w:t> </w:t>
      </w:r>
      <w:r>
        <w:rPr/>
        <w:t>such</w:t>
      </w:r>
      <w:r>
        <w:rPr>
          <w:spacing w:val="-12"/>
        </w:rPr>
        <w:t> </w:t>
      </w:r>
      <w:r>
        <w:rPr/>
        <w:t>act</w:t>
      </w:r>
      <w:r>
        <w:rPr>
          <w:spacing w:val="-14"/>
        </w:rPr>
        <w:t> </w:t>
      </w:r>
      <w:r>
        <w:rPr/>
        <w:t>is</w:t>
      </w:r>
      <w:r>
        <w:rPr>
          <w:spacing w:val="-12"/>
        </w:rPr>
        <w:t> </w:t>
      </w:r>
      <w:r>
        <w:rPr/>
        <w:t>alleged</w:t>
      </w:r>
      <w:r>
        <w:rPr>
          <w:spacing w:val="-12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charging</w:t>
      </w:r>
      <w:r>
        <w:rPr>
          <w:spacing w:val="-14"/>
        </w:rPr>
        <w:t> </w:t>
      </w:r>
      <w:r>
        <w:rPr/>
        <w:t>document.</w:t>
      </w:r>
      <w:r>
        <w:rPr>
          <w:spacing w:val="-14"/>
        </w:rPr>
        <w:t> </w:t>
      </w:r>
      <w:r>
        <w:rPr>
          <w:i/>
        </w:rPr>
        <w:t>State</w:t>
      </w:r>
      <w:r>
        <w:rPr>
          <w:i/>
          <w:spacing w:val="-13"/>
        </w:rPr>
        <w:t> </w:t>
      </w:r>
      <w:r>
        <w:rPr>
          <w:i/>
        </w:rPr>
        <w:t>v.</w:t>
      </w:r>
      <w:r>
        <w:rPr>
          <w:i/>
          <w:spacing w:val="-15"/>
        </w:rPr>
        <w:t> </w:t>
      </w:r>
      <w:r>
        <w:rPr>
          <w:i/>
        </w:rPr>
        <w:t>Day</w:t>
      </w:r>
      <w:r>
        <w:rPr/>
        <w:t>, 154 Idaho 476, 480–81, 299 P.3d 788, 792–93 (Ct. App. 2013).</w:t>
      </w:r>
    </w:p>
    <w:p>
      <w:pPr>
        <w:pStyle w:val="BodyText"/>
        <w:spacing w:before="276"/>
        <w:ind w:left="-1" w:right="356"/>
      </w:pPr>
      <w:r>
        <w:rPr/>
        <w:t>Physical contact that is not of a similar class or character as the other enumerated acts does not constitute lewd or lascivious conduct. </w:t>
      </w:r>
      <w:r>
        <w:rPr>
          <w:i/>
        </w:rPr>
        <w:t>State v. Kavajecz</w:t>
      </w:r>
      <w:r>
        <w:rPr/>
        <w:t>, 139 Idaho 482, 486–87, 80 P.3d 1083, 1087–88 (2003). For example, touching of the breasts, kissing, or tickling is not “a lewd or lascivious</w:t>
      </w:r>
      <w:r>
        <w:rPr>
          <w:spacing w:val="-1"/>
        </w:rPr>
        <w:t> </w:t>
      </w:r>
      <w:r>
        <w:rPr/>
        <w:t>act.”</w:t>
      </w:r>
      <w:r>
        <w:rPr>
          <w:spacing w:val="-3"/>
        </w:rPr>
        <w:t> </w:t>
      </w:r>
      <w:r>
        <w:rPr>
          <w:i/>
        </w:rPr>
        <w:t>State</w:t>
      </w:r>
      <w:r>
        <w:rPr>
          <w:i/>
          <w:spacing w:val="-4"/>
        </w:rPr>
        <w:t> </w:t>
      </w:r>
      <w:r>
        <w:rPr>
          <w:i/>
        </w:rPr>
        <w:t>v.</w:t>
      </w:r>
      <w:r>
        <w:rPr>
          <w:i/>
          <w:spacing w:val="-1"/>
        </w:rPr>
        <w:t> </w:t>
      </w:r>
      <w:r>
        <w:rPr>
          <w:i/>
        </w:rPr>
        <w:t>Folk</w:t>
      </w:r>
      <w:r>
        <w:rPr/>
        <w:t>,</w:t>
      </w:r>
      <w:r>
        <w:rPr>
          <w:spacing w:val="-3"/>
        </w:rPr>
        <w:t> </w:t>
      </w:r>
      <w:r>
        <w:rPr/>
        <w:t>151</w:t>
      </w:r>
      <w:r>
        <w:rPr>
          <w:spacing w:val="-1"/>
        </w:rPr>
        <w:t> </w:t>
      </w:r>
      <w:r>
        <w:rPr/>
        <w:t>Idaho</w:t>
      </w:r>
      <w:r>
        <w:rPr>
          <w:spacing w:val="-3"/>
        </w:rPr>
        <w:t> </w:t>
      </w:r>
      <w:r>
        <w:rPr/>
        <w:t>327,</w:t>
      </w:r>
      <w:r>
        <w:rPr>
          <w:spacing w:val="-3"/>
        </w:rPr>
        <w:t> </w:t>
      </w:r>
      <w:r>
        <w:rPr/>
        <w:t>342,</w:t>
      </w:r>
      <w:r>
        <w:rPr>
          <w:spacing w:val="-1"/>
        </w:rPr>
        <w:t> </w:t>
      </w:r>
      <w:r>
        <w:rPr/>
        <w:t>256</w:t>
      </w:r>
      <w:r>
        <w:rPr>
          <w:spacing w:val="-3"/>
        </w:rPr>
        <w:t> </w:t>
      </w:r>
      <w:r>
        <w:rPr/>
        <w:t>P.3d</w:t>
      </w:r>
      <w:r>
        <w:rPr>
          <w:spacing w:val="-3"/>
        </w:rPr>
        <w:t> </w:t>
      </w:r>
      <w:r>
        <w:rPr/>
        <w:t>735,</w:t>
      </w:r>
      <w:r>
        <w:rPr>
          <w:spacing w:val="-3"/>
        </w:rPr>
        <w:t> </w:t>
      </w:r>
      <w:r>
        <w:rPr/>
        <w:t>750</w:t>
      </w:r>
      <w:r>
        <w:rPr>
          <w:spacing w:val="-3"/>
        </w:rPr>
        <w:t> </w:t>
      </w:r>
      <w:r>
        <w:rPr/>
        <w:t>(2011).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violation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I.C.</w:t>
      </w:r>
      <w:r>
        <w:rPr>
          <w:spacing w:val="-3"/>
        </w:rPr>
        <w:t> </w:t>
      </w:r>
      <w:r>
        <w:rPr/>
        <w:t>§ 18-1506,</w:t>
      </w:r>
      <w:r>
        <w:rPr>
          <w:spacing w:val="-4"/>
        </w:rPr>
        <w:t> </w:t>
      </w:r>
      <w:r>
        <w:rPr/>
        <w:t>sexual</w:t>
      </w:r>
      <w:r>
        <w:rPr>
          <w:spacing w:val="-3"/>
        </w:rPr>
        <w:t> </w:t>
      </w:r>
      <w:r>
        <w:rPr/>
        <w:t>abuse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child</w:t>
      </w:r>
      <w:r>
        <w:rPr>
          <w:spacing w:val="-4"/>
        </w:rPr>
        <w:t> </w:t>
      </w:r>
      <w:r>
        <w:rPr/>
        <w:t>under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age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sixteen,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lesser</w:t>
      </w:r>
      <w:r>
        <w:rPr>
          <w:spacing w:val="-2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offense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I.C.</w:t>
      </w:r>
      <w:r>
        <w:rPr>
          <w:spacing w:val="-4"/>
        </w:rPr>
        <w:t> </w:t>
      </w:r>
      <w:r>
        <w:rPr/>
        <w:t>§ </w:t>
      </w:r>
      <w:r>
        <w:rPr>
          <w:spacing w:val="-2"/>
        </w:rPr>
        <w:t>18-1508,</w:t>
      </w:r>
      <w:r>
        <w:rPr>
          <w:spacing w:val="-15"/>
        </w:rPr>
        <w:t> </w:t>
      </w:r>
      <w:r>
        <w:rPr>
          <w:spacing w:val="-2"/>
        </w:rPr>
        <w:t>lewd</w:t>
      </w:r>
      <w:r>
        <w:rPr>
          <w:spacing w:val="-13"/>
        </w:rPr>
        <w:t> </w:t>
      </w:r>
      <w:r>
        <w:rPr>
          <w:spacing w:val="-2"/>
        </w:rPr>
        <w:t>conduct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minor</w:t>
      </w:r>
      <w:r>
        <w:rPr>
          <w:spacing w:val="-13"/>
        </w:rPr>
        <w:t> </w:t>
      </w:r>
      <w:r>
        <w:rPr>
          <w:spacing w:val="-2"/>
        </w:rPr>
        <w:t>child</w:t>
      </w:r>
      <w:r>
        <w:rPr>
          <w:spacing w:val="-13"/>
        </w:rPr>
        <w:t> </w:t>
      </w:r>
      <w:r>
        <w:rPr>
          <w:spacing w:val="-2"/>
        </w:rPr>
        <w:t>under</w:t>
      </w:r>
      <w:r>
        <w:rPr>
          <w:spacing w:val="-13"/>
        </w:rPr>
        <w:t> </w:t>
      </w:r>
      <w:r>
        <w:rPr>
          <w:spacing w:val="-2"/>
        </w:rPr>
        <w:t>sixteen.</w:t>
      </w:r>
      <w:r>
        <w:rPr>
          <w:spacing w:val="-13"/>
        </w:rPr>
        <w:t> </w:t>
      </w:r>
      <w:r>
        <w:rPr>
          <w:i/>
          <w:spacing w:val="-2"/>
        </w:rPr>
        <w:t>State</w:t>
      </w:r>
      <w:r>
        <w:rPr>
          <w:i/>
          <w:spacing w:val="-13"/>
        </w:rPr>
        <w:t> </w:t>
      </w:r>
      <w:r>
        <w:rPr>
          <w:i/>
          <w:spacing w:val="-2"/>
        </w:rPr>
        <w:t>v.</w:t>
      </w:r>
      <w:r>
        <w:rPr>
          <w:i/>
          <w:spacing w:val="-13"/>
        </w:rPr>
        <w:t> </w:t>
      </w:r>
      <w:r>
        <w:rPr>
          <w:i/>
          <w:spacing w:val="-2"/>
        </w:rPr>
        <w:t>Flegel</w:t>
      </w:r>
      <w:r>
        <w:rPr>
          <w:spacing w:val="-2"/>
        </w:rPr>
        <w:t>,</w:t>
      </w:r>
      <w:r>
        <w:rPr>
          <w:spacing w:val="-13"/>
        </w:rPr>
        <w:t> </w:t>
      </w:r>
      <w:r>
        <w:rPr>
          <w:spacing w:val="-2"/>
        </w:rPr>
        <w:t>151</w:t>
      </w:r>
      <w:r>
        <w:rPr>
          <w:spacing w:val="-13"/>
        </w:rPr>
        <w:t> </w:t>
      </w:r>
      <w:r>
        <w:rPr>
          <w:spacing w:val="-2"/>
        </w:rPr>
        <w:t>Idaho</w:t>
      </w:r>
      <w:r>
        <w:rPr>
          <w:spacing w:val="-13"/>
        </w:rPr>
        <w:t> </w:t>
      </w:r>
      <w:r>
        <w:rPr>
          <w:spacing w:val="-2"/>
        </w:rPr>
        <w:t>525,</w:t>
      </w:r>
      <w:r>
        <w:rPr>
          <w:spacing w:val="-13"/>
        </w:rPr>
        <w:t> </w:t>
      </w:r>
      <w:r>
        <w:rPr>
          <w:spacing w:val="-2"/>
        </w:rPr>
        <w:t>529–30,</w:t>
      </w:r>
      <w:r>
        <w:rPr>
          <w:spacing w:val="-13"/>
        </w:rPr>
        <w:t> </w:t>
      </w:r>
      <w:r>
        <w:rPr>
          <w:spacing w:val="-2"/>
        </w:rPr>
        <w:t>261 </w:t>
      </w:r>
      <w:r>
        <w:rPr/>
        <w:t>P.3d 519, 523–24 (2011).</w:t>
      </w:r>
    </w:p>
    <w:p>
      <w:pPr>
        <w:pStyle w:val="BodyText"/>
        <w:spacing w:before="269"/>
        <w:ind w:right="254"/>
        <w:jc w:val="center"/>
      </w:pPr>
      <w:r>
        <w:rPr/>
        <w:t>1 of </w:t>
      </w:r>
      <w:r>
        <w:rPr>
          <w:spacing w:val="-10"/>
        </w:rPr>
        <w:t>1</w:t>
      </w:r>
    </w:p>
    <w:sectPr>
      <w:type w:val="continuous"/>
      <w:pgSz w:w="12240" w:h="15840"/>
      <w:pgMar w:top="13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6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8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1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9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8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left="2" w:right="36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60" w:hanging="24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Supreme Court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sstover</dc:creator>
  <dcterms:created xsi:type="dcterms:W3CDTF">2026-03-02T22:52:09Z</dcterms:created>
  <dcterms:modified xsi:type="dcterms:W3CDTF">2026-03-02T22:52:09Z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0x01010055C6F26151EF594E9CE60E01292DC9D7</vt:lpwstr>
  </property>
  <property fmtid="{D5CDD505-2E9C-101B-9397-08002B2CF9AE}" pid="4" name="Created">
    <vt:filetime>2026-03-02T00:00:00Z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2026-03-02T00:00:00Z</vt:filetime>
  </property>
  <property fmtid="{D5CDD505-2E9C-101B-9397-08002B2CF9AE}" pid="7" name="Order">
    <vt:lpwstr>1509400.00000000</vt:lpwstr>
  </property>
  <property fmtid="{D5CDD505-2E9C-101B-9397-08002B2CF9AE}" pid="8" name="Producer">
    <vt:lpwstr>Adobe PDF Library 25.1.231</vt:lpwstr>
  </property>
  <property fmtid="{D5CDD505-2E9C-101B-9397-08002B2CF9AE}" pid="9" name="SourceModified">
    <vt:lpwstr>D:20260302201358</vt:lpwstr>
  </property>
  <property fmtid="{D5CDD505-2E9C-101B-9397-08002B2CF9AE}" pid="10" name="TaxCatchAl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display_urn:schemas-microsoft-com:office:office#Author">
    <vt:lpwstr>Jessica Lorello</vt:lpwstr>
  </property>
  <property fmtid="{D5CDD505-2E9C-101B-9397-08002B2CF9AE}" pid="14" name="display_urn:schemas-microsoft-com:office:office#Editor">
    <vt:lpwstr>Jessica Lorello</vt:lpwstr>
  </property>
  <property fmtid="{D5CDD505-2E9C-101B-9397-08002B2CF9AE}" pid="15" name="lcf76f155ced4ddcb4097134ff3c332f">
    <vt:lpwstr/>
  </property>
</Properties>
</file>