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A1D" w:rsidRDefault="00953A1D" w:rsidP="00953A1D">
      <w:pPr>
        <w:pStyle w:val="Heading3"/>
      </w:pPr>
      <w:bookmarkStart w:id="0" w:name="_Toc13032159"/>
      <w:bookmarkStart w:id="1" w:name="_Toc34463339"/>
      <w:bookmarkStart w:id="2" w:name="_Toc34463559"/>
      <w:bookmarkStart w:id="3" w:name="_Toc34723803"/>
      <w:bookmarkStart w:id="4" w:name="_Ref35420066"/>
      <w:bookmarkStart w:id="5" w:name="_Toc38700833"/>
      <w:r>
        <w:t>IDJI 10.11 - Defense of alteration of product inapplicable</w:t>
      </w:r>
      <w:bookmarkEnd w:id="0"/>
      <w:bookmarkEnd w:id="1"/>
      <w:bookmarkEnd w:id="2"/>
      <w:bookmarkEnd w:id="3"/>
      <w:bookmarkEnd w:id="4"/>
      <w:bookmarkEnd w:id="5"/>
    </w:p>
    <w:p w:rsidR="00953A1D" w:rsidRDefault="00953A1D" w:rsidP="00953A1D">
      <w:pPr>
        <w:pStyle w:val="Instructiontitle"/>
      </w:pPr>
      <w:bookmarkStart w:id="6" w:name="_GoBack"/>
      <w:bookmarkEnd w:id="6"/>
      <w:proofErr w:type="gramStart"/>
      <w:r>
        <w:t>INSTRUCTION NO.</w:t>
      </w:r>
      <w:proofErr w:type="gramEnd"/>
      <w:r>
        <w:t xml:space="preserve"> _____</w:t>
      </w:r>
    </w:p>
    <w:p w:rsidR="00953A1D" w:rsidRDefault="00953A1D" w:rsidP="00953A1D">
      <w:pPr>
        <w:pStyle w:val="Instruction"/>
      </w:pPr>
      <w:r>
        <w:tab/>
        <w:t>The defense of alteration of the product as a basis for comparative fault does not apply if the plaintiff proves any one of the following:</w:t>
      </w:r>
    </w:p>
    <w:p w:rsidR="00953A1D" w:rsidRDefault="00953A1D" w:rsidP="00953A1D">
      <w:pPr>
        <w:pStyle w:val="Instruction"/>
        <w:numPr>
          <w:ilvl w:val="0"/>
          <w:numId w:val="1"/>
        </w:numPr>
        <w:tabs>
          <w:tab w:val="clear" w:pos="1440"/>
        </w:tabs>
        <w:ind w:left="2160" w:hanging="720"/>
      </w:pPr>
      <w:r>
        <w:t>The change to the product design, construction or formula was in accord with the defendant’s instructions or specifications; or</w:t>
      </w:r>
    </w:p>
    <w:p w:rsidR="00953A1D" w:rsidRDefault="00953A1D" w:rsidP="00953A1D">
      <w:pPr>
        <w:pStyle w:val="Instruction"/>
        <w:numPr>
          <w:ilvl w:val="0"/>
          <w:numId w:val="1"/>
        </w:numPr>
        <w:tabs>
          <w:tab w:val="clear" w:pos="1440"/>
        </w:tabs>
        <w:ind w:left="2160" w:hanging="720"/>
      </w:pPr>
      <w:r>
        <w:t>The change was done with the express or implied consent of the defendant; or</w:t>
      </w:r>
    </w:p>
    <w:p w:rsidR="00953A1D" w:rsidRDefault="00953A1D" w:rsidP="00953A1D">
      <w:pPr>
        <w:pStyle w:val="Instruction"/>
        <w:numPr>
          <w:ilvl w:val="0"/>
          <w:numId w:val="1"/>
        </w:numPr>
        <w:tabs>
          <w:tab w:val="clear" w:pos="1440"/>
        </w:tabs>
        <w:ind w:left="2160" w:hanging="720"/>
      </w:pPr>
      <w:r>
        <w:t>The defendant, in the exercise of ordinary care, should have anticipated the change of the product by others, and that the product was defective because of the defendant’s failure to provide warnings or instructions concerning the dangers of such change.</w:t>
      </w:r>
    </w:p>
    <w:p w:rsidR="00953A1D" w:rsidRDefault="00953A1D" w:rsidP="00953A1D">
      <w:pPr>
        <w:spacing w:line="360" w:lineRule="auto"/>
      </w:pPr>
    </w:p>
    <w:p w:rsidR="00953A1D" w:rsidRDefault="00953A1D" w:rsidP="00953A1D">
      <w:r>
        <w:t xml:space="preserve">Comments:  </w:t>
      </w:r>
    </w:p>
    <w:p w:rsidR="00953A1D" w:rsidRDefault="00953A1D" w:rsidP="00953A1D">
      <w:pPr>
        <w:ind w:firstLine="720"/>
      </w:pPr>
      <w:proofErr w:type="gramStart"/>
      <w:r>
        <w:t>Idaho Code §6-1305(4).</w:t>
      </w:r>
      <w:proofErr w:type="gramEnd"/>
    </w:p>
    <w:p w:rsidR="007A3362" w:rsidRDefault="00953A1D"/>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80353"/>
    <w:multiLevelType w:val="hybridMultilevel"/>
    <w:tmpl w:val="4F06FDB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A1D"/>
    <w:rsid w:val="00544374"/>
    <w:rsid w:val="00953A1D"/>
    <w:rsid w:val="00DA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A1D"/>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953A1D"/>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53A1D"/>
    <w:rPr>
      <w:rFonts w:ascii="Times New Roman" w:eastAsia="Times New Roman" w:hAnsi="Times New Roman" w:cs="Times New Roman"/>
      <w:sz w:val="24"/>
      <w:szCs w:val="24"/>
    </w:rPr>
  </w:style>
  <w:style w:type="paragraph" w:customStyle="1" w:styleId="Instruction">
    <w:name w:val="Instruction"/>
    <w:rsid w:val="00953A1D"/>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953A1D"/>
    <w:pPr>
      <w:jc w:val="cente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A1D"/>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953A1D"/>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53A1D"/>
    <w:rPr>
      <w:rFonts w:ascii="Times New Roman" w:eastAsia="Times New Roman" w:hAnsi="Times New Roman" w:cs="Times New Roman"/>
      <w:sz w:val="24"/>
      <w:szCs w:val="24"/>
    </w:rPr>
  </w:style>
  <w:style w:type="paragraph" w:customStyle="1" w:styleId="Instruction">
    <w:name w:val="Instruction"/>
    <w:rsid w:val="00953A1D"/>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953A1D"/>
    <w:pPr>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1</cp:revision>
  <dcterms:created xsi:type="dcterms:W3CDTF">2011-11-02T18:43:00Z</dcterms:created>
  <dcterms:modified xsi:type="dcterms:W3CDTF">2011-11-02T18:43:00Z</dcterms:modified>
</cp:coreProperties>
</file>