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61" w:rsidRDefault="00872161" w:rsidP="00872161">
      <w:pPr>
        <w:tabs>
          <w:tab w:val="left" w:pos="-720"/>
        </w:tabs>
        <w:suppressAutoHyphens/>
        <w:jc w:val="center"/>
        <w:outlineLvl w:val="0"/>
      </w:pPr>
      <w:bookmarkStart w:id="0" w:name="_GoBack"/>
      <w:bookmarkEnd w:id="0"/>
      <w:r>
        <w:t>NON INSTRUCTIONS</w:t>
      </w:r>
    </w:p>
    <w:p w:rsidR="00872161" w:rsidRDefault="00872161" w:rsidP="00872161">
      <w:pPr>
        <w:tabs>
          <w:tab w:val="left" w:pos="-720"/>
        </w:tabs>
        <w:suppressAutoHyphens/>
        <w:jc w:val="center"/>
        <w:outlineLvl w:val="0"/>
      </w:pPr>
    </w:p>
    <w:p w:rsidR="00872161" w:rsidRDefault="00872161" w:rsidP="00872161">
      <w:pPr>
        <w:tabs>
          <w:tab w:val="left" w:pos="-720"/>
        </w:tabs>
        <w:suppressAutoHyphens/>
        <w:jc w:val="center"/>
        <w:outlineLvl w:val="0"/>
      </w:pPr>
    </w:p>
    <w:p w:rsidR="00872161" w:rsidRDefault="00872161" w:rsidP="00872161">
      <w:pPr>
        <w:tabs>
          <w:tab w:val="left" w:pos="-720"/>
        </w:tabs>
        <w:suppressAutoHyphens/>
        <w:jc w:val="both"/>
      </w:pPr>
      <w:r>
        <w:tab/>
        <w:t>The previous editions of IDJI listed a number of “non-instructions” – topics which at one time or another were covered by instructions, but which, under modern practice, the committee recommended should no longer be included in any instruction set.  The committee recommended that these “non-instructions” be included in the current IDJI2d, with appropriate notations, cross references, and index references</w:t>
      </w:r>
      <w:r>
        <w:t>.</w:t>
      </w:r>
    </w:p>
    <w:p w:rsidR="00872161" w:rsidRDefault="00872161" w:rsidP="00872161">
      <w:pPr>
        <w:tabs>
          <w:tab w:val="left" w:pos="-720"/>
        </w:tabs>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852"/>
        <w:gridCol w:w="2330"/>
        <w:gridCol w:w="2623"/>
      </w:tblGrid>
      <w:tr w:rsidR="00872161" w:rsidTr="00857A86">
        <w:tblPrEx>
          <w:tblCellMar>
            <w:top w:w="0" w:type="dxa"/>
            <w:bottom w:w="0" w:type="dxa"/>
          </w:tblCellMar>
        </w:tblPrEx>
        <w:tc>
          <w:tcPr>
            <w:tcW w:w="1008" w:type="dxa"/>
            <w:shd w:val="clear" w:color="auto" w:fill="E0E0E0"/>
          </w:tcPr>
          <w:p w:rsidR="00872161" w:rsidRDefault="00872161" w:rsidP="00857A86">
            <w:pPr>
              <w:tabs>
                <w:tab w:val="left" w:pos="-720"/>
              </w:tabs>
              <w:suppressAutoHyphens/>
              <w:ind w:right="-18"/>
              <w:jc w:val="both"/>
            </w:pPr>
            <w:r>
              <w:t xml:space="preserve">IDJI </w:t>
            </w:r>
          </w:p>
        </w:tc>
        <w:tc>
          <w:tcPr>
            <w:tcW w:w="2852" w:type="dxa"/>
            <w:shd w:val="clear" w:color="auto" w:fill="E0E0E0"/>
          </w:tcPr>
          <w:p w:rsidR="00872161" w:rsidRDefault="00872161" w:rsidP="00857A86">
            <w:pPr>
              <w:tabs>
                <w:tab w:val="left" w:pos="-720"/>
              </w:tabs>
              <w:suppressAutoHyphens/>
              <w:jc w:val="both"/>
            </w:pPr>
            <w:r>
              <w:t>DESCRIPTION</w:t>
            </w:r>
          </w:p>
        </w:tc>
        <w:tc>
          <w:tcPr>
            <w:tcW w:w="2330" w:type="dxa"/>
            <w:shd w:val="clear" w:color="auto" w:fill="E0E0E0"/>
          </w:tcPr>
          <w:p w:rsidR="00872161" w:rsidRDefault="00872161" w:rsidP="00857A86">
            <w:pPr>
              <w:tabs>
                <w:tab w:val="left" w:pos="-720"/>
              </w:tabs>
              <w:suppressAutoHyphens/>
              <w:jc w:val="both"/>
            </w:pPr>
            <w:r>
              <w:t>IDJI ACTION</w:t>
            </w:r>
          </w:p>
        </w:tc>
        <w:tc>
          <w:tcPr>
            <w:tcW w:w="2623" w:type="dxa"/>
            <w:shd w:val="clear" w:color="auto" w:fill="E0E0E0"/>
          </w:tcPr>
          <w:p w:rsidR="00872161" w:rsidRDefault="00872161" w:rsidP="00857A86">
            <w:pPr>
              <w:tabs>
                <w:tab w:val="left" w:pos="-720"/>
              </w:tabs>
              <w:suppressAutoHyphens/>
              <w:jc w:val="both"/>
            </w:pPr>
            <w:r>
              <w:t>IDJI2D ACTION</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103-107</w:t>
            </w:r>
          </w:p>
        </w:tc>
        <w:tc>
          <w:tcPr>
            <w:tcW w:w="2852" w:type="dxa"/>
          </w:tcPr>
          <w:p w:rsidR="00872161" w:rsidRDefault="00872161" w:rsidP="00857A86">
            <w:pPr>
              <w:tabs>
                <w:tab w:val="left" w:pos="-720"/>
              </w:tabs>
              <w:suppressAutoHyphens/>
              <w:ind w:right="44"/>
            </w:pPr>
            <w:r>
              <w:t>Forms for stating other claims of various parties</w:t>
            </w:r>
          </w:p>
        </w:tc>
        <w:tc>
          <w:tcPr>
            <w:tcW w:w="2330" w:type="dxa"/>
          </w:tcPr>
          <w:p w:rsidR="00872161" w:rsidRDefault="00872161" w:rsidP="00857A86">
            <w:pPr>
              <w:tabs>
                <w:tab w:val="left" w:pos="-720"/>
              </w:tabs>
              <w:suppressAutoHyphens/>
            </w:pPr>
          </w:p>
        </w:tc>
        <w:tc>
          <w:tcPr>
            <w:tcW w:w="2623" w:type="dxa"/>
          </w:tcPr>
          <w:p w:rsidR="00872161" w:rsidRDefault="00872161" w:rsidP="00857A86">
            <w:pPr>
              <w:tabs>
                <w:tab w:val="left" w:pos="-720"/>
              </w:tabs>
              <w:suppressAutoHyphens/>
              <w:ind w:right="47"/>
            </w:pPr>
            <w:r>
              <w:t>Additional examples omitted as repetitious and unnecessary</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113</w:t>
            </w:r>
          </w:p>
        </w:tc>
        <w:tc>
          <w:tcPr>
            <w:tcW w:w="2852" w:type="dxa"/>
          </w:tcPr>
          <w:p w:rsidR="00872161" w:rsidRDefault="00872161" w:rsidP="00857A86">
            <w:pPr>
              <w:tabs>
                <w:tab w:val="left" w:pos="-720"/>
              </w:tabs>
              <w:suppressAutoHyphens/>
              <w:ind w:right="44"/>
            </w:pPr>
            <w:r>
              <w:t>Attempting to apply or illustrate burden of proof</w:t>
            </w:r>
          </w:p>
        </w:tc>
        <w:tc>
          <w:tcPr>
            <w:tcW w:w="2330" w:type="dxa"/>
          </w:tcPr>
          <w:p w:rsidR="00872161" w:rsidRDefault="00872161" w:rsidP="00857A86">
            <w:pPr>
              <w:tabs>
                <w:tab w:val="left" w:pos="-720"/>
                <w:tab w:val="left" w:pos="1990"/>
              </w:tabs>
              <w:suppressAutoHyphens/>
              <w:ind w:right="124"/>
            </w:pPr>
            <w:r>
              <w:t>Recommends no further instruction be given</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120</w:t>
            </w:r>
          </w:p>
        </w:tc>
        <w:tc>
          <w:tcPr>
            <w:tcW w:w="2852" w:type="dxa"/>
          </w:tcPr>
          <w:p w:rsidR="00872161" w:rsidRDefault="00872161" w:rsidP="00857A86">
            <w:pPr>
              <w:tabs>
                <w:tab w:val="left" w:pos="-720"/>
              </w:tabs>
              <w:suppressAutoHyphens/>
              <w:ind w:right="44"/>
            </w:pPr>
            <w:r>
              <w:t>Evidence to be considered</w:t>
            </w:r>
          </w:p>
        </w:tc>
        <w:tc>
          <w:tcPr>
            <w:tcW w:w="2330" w:type="dxa"/>
          </w:tcPr>
          <w:p w:rsidR="00872161" w:rsidRDefault="00872161" w:rsidP="00857A86">
            <w:pPr>
              <w:tabs>
                <w:tab w:val="left" w:pos="-720"/>
              </w:tabs>
              <w:suppressAutoHyphens/>
            </w:pPr>
          </w:p>
        </w:tc>
        <w:tc>
          <w:tcPr>
            <w:tcW w:w="2623" w:type="dxa"/>
          </w:tcPr>
          <w:p w:rsidR="00872161" w:rsidRDefault="00872161" w:rsidP="00857A86">
            <w:pPr>
              <w:tabs>
                <w:tab w:val="left" w:pos="-720"/>
              </w:tabs>
              <w:suppressAutoHyphens/>
            </w:pPr>
            <w:r>
              <w:t>Omitted as redundant to IDJI2d 100</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121</w:t>
            </w:r>
          </w:p>
        </w:tc>
        <w:tc>
          <w:tcPr>
            <w:tcW w:w="2852" w:type="dxa"/>
          </w:tcPr>
          <w:p w:rsidR="00872161" w:rsidRDefault="00872161" w:rsidP="00857A86">
            <w:pPr>
              <w:tabs>
                <w:tab w:val="left" w:pos="-720"/>
              </w:tabs>
              <w:suppressAutoHyphens/>
              <w:ind w:right="44"/>
            </w:pPr>
            <w:r>
              <w:t>Evaluation of evidence</w:t>
            </w:r>
          </w:p>
        </w:tc>
        <w:tc>
          <w:tcPr>
            <w:tcW w:w="2330" w:type="dxa"/>
          </w:tcPr>
          <w:p w:rsidR="00872161" w:rsidRDefault="00872161" w:rsidP="00857A86">
            <w:pPr>
              <w:tabs>
                <w:tab w:val="left" w:pos="-720"/>
              </w:tabs>
              <w:suppressAutoHyphens/>
            </w:pPr>
          </w:p>
        </w:tc>
        <w:tc>
          <w:tcPr>
            <w:tcW w:w="2623" w:type="dxa"/>
          </w:tcPr>
          <w:p w:rsidR="00872161" w:rsidRDefault="00872161" w:rsidP="00857A86">
            <w:pPr>
              <w:tabs>
                <w:tab w:val="left" w:pos="-720"/>
              </w:tabs>
              <w:suppressAutoHyphens/>
            </w:pPr>
            <w:r>
              <w:t>Omitted as redundant to IDJI2d 100</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130</w:t>
            </w:r>
          </w:p>
        </w:tc>
        <w:tc>
          <w:tcPr>
            <w:tcW w:w="2852" w:type="dxa"/>
          </w:tcPr>
          <w:p w:rsidR="00872161" w:rsidRDefault="00872161" w:rsidP="00857A86">
            <w:pPr>
              <w:tabs>
                <w:tab w:val="left" w:pos="-720"/>
              </w:tabs>
              <w:suppressAutoHyphens/>
            </w:pPr>
            <w:r>
              <w:t>Impeachment of witness</w:t>
            </w:r>
          </w:p>
        </w:tc>
        <w:tc>
          <w:tcPr>
            <w:tcW w:w="2330" w:type="dxa"/>
          </w:tcPr>
          <w:p w:rsidR="00872161" w:rsidRDefault="00872161" w:rsidP="00857A86">
            <w:pPr>
              <w:tabs>
                <w:tab w:val="left" w:pos="-720"/>
              </w:tabs>
              <w:suppressAutoHyphens/>
              <w:ind w:right="124"/>
            </w:pPr>
            <w:r>
              <w:t>Recommends no special instruction be given– topic covered by IDJI2d 100</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131</w:t>
            </w:r>
          </w:p>
        </w:tc>
        <w:tc>
          <w:tcPr>
            <w:tcW w:w="2852" w:type="dxa"/>
          </w:tcPr>
          <w:p w:rsidR="00872161" w:rsidRDefault="00872161" w:rsidP="00857A86">
            <w:pPr>
              <w:tabs>
                <w:tab w:val="left" w:pos="-720"/>
              </w:tabs>
              <w:suppressAutoHyphens/>
            </w:pPr>
            <w:r>
              <w:t>Witness willfully false</w:t>
            </w:r>
          </w:p>
        </w:tc>
        <w:tc>
          <w:tcPr>
            <w:tcW w:w="2330" w:type="dxa"/>
          </w:tcPr>
          <w:p w:rsidR="00872161" w:rsidRDefault="00872161" w:rsidP="00857A86">
            <w:pPr>
              <w:tabs>
                <w:tab w:val="left" w:pos="-720"/>
              </w:tabs>
              <w:suppressAutoHyphens/>
              <w:ind w:right="124"/>
            </w:pPr>
            <w:r>
              <w:t>Recommends no special instruction be given – topic covered by IDJI2d 100</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132</w:t>
            </w:r>
          </w:p>
        </w:tc>
        <w:tc>
          <w:tcPr>
            <w:tcW w:w="2852" w:type="dxa"/>
          </w:tcPr>
          <w:p w:rsidR="00872161" w:rsidRDefault="00872161" w:rsidP="00857A86">
            <w:pPr>
              <w:tabs>
                <w:tab w:val="left" w:pos="-720"/>
                <w:tab w:val="left" w:pos="2592"/>
              </w:tabs>
              <w:suppressAutoHyphens/>
              <w:ind w:right="44"/>
            </w:pPr>
            <w:r>
              <w:t>Witnesses presumed to speak the truth</w:t>
            </w:r>
          </w:p>
        </w:tc>
        <w:tc>
          <w:tcPr>
            <w:tcW w:w="2330" w:type="dxa"/>
          </w:tcPr>
          <w:p w:rsidR="00872161" w:rsidRDefault="00872161" w:rsidP="00857A86">
            <w:pPr>
              <w:tabs>
                <w:tab w:val="left" w:pos="-720"/>
              </w:tabs>
              <w:suppressAutoHyphens/>
              <w:ind w:right="124"/>
            </w:pPr>
            <w:r>
              <w:t>Recommends no special instruction be given.</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133</w:t>
            </w:r>
          </w:p>
        </w:tc>
        <w:tc>
          <w:tcPr>
            <w:tcW w:w="2852" w:type="dxa"/>
          </w:tcPr>
          <w:p w:rsidR="00872161" w:rsidRDefault="00872161" w:rsidP="00857A86">
            <w:pPr>
              <w:tabs>
                <w:tab w:val="left" w:pos="-720"/>
                <w:tab w:val="left" w:pos="2592"/>
              </w:tabs>
              <w:suppressAutoHyphens/>
              <w:ind w:right="134"/>
            </w:pPr>
            <w:r>
              <w:t>Witness need not be believed</w:t>
            </w:r>
          </w:p>
        </w:tc>
        <w:tc>
          <w:tcPr>
            <w:tcW w:w="2330" w:type="dxa"/>
          </w:tcPr>
          <w:p w:rsidR="00872161" w:rsidRDefault="00872161" w:rsidP="00857A86">
            <w:pPr>
              <w:tabs>
                <w:tab w:val="left" w:pos="-720"/>
              </w:tabs>
              <w:suppressAutoHyphens/>
              <w:ind w:right="124"/>
            </w:pPr>
            <w:r>
              <w:t>Recommends no special instruction</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134</w:t>
            </w:r>
          </w:p>
        </w:tc>
        <w:tc>
          <w:tcPr>
            <w:tcW w:w="2852" w:type="dxa"/>
          </w:tcPr>
          <w:p w:rsidR="00872161" w:rsidRDefault="00872161" w:rsidP="00857A86">
            <w:pPr>
              <w:tabs>
                <w:tab w:val="left" w:pos="-720"/>
              </w:tabs>
              <w:suppressAutoHyphens/>
              <w:ind w:right="44"/>
            </w:pPr>
            <w:r>
              <w:t>Inherently improbable testimony may be disregarded</w:t>
            </w:r>
          </w:p>
        </w:tc>
        <w:tc>
          <w:tcPr>
            <w:tcW w:w="2330" w:type="dxa"/>
          </w:tcPr>
          <w:p w:rsidR="00872161" w:rsidRDefault="00872161" w:rsidP="00857A86">
            <w:pPr>
              <w:tabs>
                <w:tab w:val="left" w:pos="-720"/>
              </w:tabs>
              <w:suppressAutoHyphens/>
              <w:ind w:right="34"/>
            </w:pPr>
            <w:r>
              <w:t>Recommends no special instruction. Argumentative, or comment on evidence</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135</w:t>
            </w:r>
          </w:p>
        </w:tc>
        <w:tc>
          <w:tcPr>
            <w:tcW w:w="2852" w:type="dxa"/>
          </w:tcPr>
          <w:p w:rsidR="00872161" w:rsidRDefault="00872161" w:rsidP="00857A86">
            <w:pPr>
              <w:tabs>
                <w:tab w:val="left" w:pos="-720"/>
              </w:tabs>
              <w:suppressAutoHyphens/>
            </w:pPr>
            <w:r>
              <w:t>Party competent as a witness</w:t>
            </w:r>
          </w:p>
        </w:tc>
        <w:tc>
          <w:tcPr>
            <w:tcW w:w="2330" w:type="dxa"/>
          </w:tcPr>
          <w:p w:rsidR="00872161" w:rsidRDefault="00872161" w:rsidP="00857A86">
            <w:pPr>
              <w:tabs>
                <w:tab w:val="left" w:pos="-720"/>
              </w:tabs>
              <w:suppressAutoHyphens/>
              <w:ind w:right="34"/>
            </w:pPr>
            <w:r>
              <w:t>Recommends no special instruction.</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163</w:t>
            </w:r>
          </w:p>
        </w:tc>
        <w:tc>
          <w:tcPr>
            <w:tcW w:w="2852" w:type="dxa"/>
          </w:tcPr>
          <w:p w:rsidR="00872161" w:rsidRDefault="00872161" w:rsidP="00857A86">
            <w:pPr>
              <w:tabs>
                <w:tab w:val="left" w:pos="-720"/>
              </w:tabs>
              <w:suppressAutoHyphens/>
            </w:pPr>
            <w:r>
              <w:t>Plaintiff’s case and Defendant’s Counterclaim</w:t>
            </w:r>
          </w:p>
        </w:tc>
        <w:tc>
          <w:tcPr>
            <w:tcW w:w="2330" w:type="dxa"/>
          </w:tcPr>
          <w:p w:rsidR="00872161" w:rsidRDefault="00872161" w:rsidP="00857A86">
            <w:pPr>
              <w:tabs>
                <w:tab w:val="left" w:pos="-720"/>
              </w:tabs>
              <w:suppressAutoHyphens/>
              <w:ind w:right="34"/>
            </w:pPr>
            <w:r>
              <w:t>General verdict form, no special interrogatories</w:t>
            </w:r>
          </w:p>
        </w:tc>
        <w:tc>
          <w:tcPr>
            <w:tcW w:w="2623" w:type="dxa"/>
          </w:tcPr>
          <w:p w:rsidR="00872161" w:rsidRDefault="00872161" w:rsidP="00857A86">
            <w:pPr>
              <w:tabs>
                <w:tab w:val="left" w:pos="-720"/>
              </w:tabs>
              <w:suppressAutoHyphens/>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164</w:t>
            </w:r>
          </w:p>
        </w:tc>
        <w:tc>
          <w:tcPr>
            <w:tcW w:w="2852" w:type="dxa"/>
          </w:tcPr>
          <w:p w:rsidR="00872161" w:rsidRDefault="00872161" w:rsidP="00857A86">
            <w:pPr>
              <w:tabs>
                <w:tab w:val="left" w:pos="-720"/>
              </w:tabs>
              <w:suppressAutoHyphens/>
            </w:pPr>
            <w:r>
              <w:t xml:space="preserve">Plaintiff’s case and Third </w:t>
            </w:r>
            <w:r>
              <w:lastRenderedPageBreak/>
              <w:t>Party or Cross Claim</w:t>
            </w:r>
          </w:p>
        </w:tc>
        <w:tc>
          <w:tcPr>
            <w:tcW w:w="2330" w:type="dxa"/>
          </w:tcPr>
          <w:p w:rsidR="00872161" w:rsidRDefault="00872161" w:rsidP="00857A86">
            <w:pPr>
              <w:tabs>
                <w:tab w:val="left" w:pos="-720"/>
              </w:tabs>
              <w:suppressAutoHyphens/>
              <w:ind w:right="34"/>
            </w:pPr>
            <w:r>
              <w:lastRenderedPageBreak/>
              <w:t xml:space="preserve">General verdict form, </w:t>
            </w:r>
            <w:r>
              <w:lastRenderedPageBreak/>
              <w:t>no special interrogatories</w:t>
            </w:r>
          </w:p>
        </w:tc>
        <w:tc>
          <w:tcPr>
            <w:tcW w:w="2623" w:type="dxa"/>
          </w:tcPr>
          <w:p w:rsidR="00872161" w:rsidRDefault="00872161" w:rsidP="00857A86">
            <w:pPr>
              <w:tabs>
                <w:tab w:val="left" w:pos="-720"/>
              </w:tabs>
              <w:suppressAutoHyphens/>
            </w:pPr>
            <w:r>
              <w:lastRenderedPageBreak/>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lastRenderedPageBreak/>
              <w:t>213</w:t>
            </w:r>
          </w:p>
        </w:tc>
        <w:tc>
          <w:tcPr>
            <w:tcW w:w="2852" w:type="dxa"/>
          </w:tcPr>
          <w:p w:rsidR="00872161" w:rsidRDefault="00872161" w:rsidP="00857A86">
            <w:pPr>
              <w:tabs>
                <w:tab w:val="left" w:pos="-720"/>
                <w:tab w:val="left" w:pos="2592"/>
              </w:tabs>
              <w:suppressAutoHyphens/>
              <w:ind w:right="134"/>
            </w:pPr>
            <w:r>
              <w:t>Presumption of due care</w:t>
            </w:r>
          </w:p>
        </w:tc>
        <w:tc>
          <w:tcPr>
            <w:tcW w:w="2330" w:type="dxa"/>
          </w:tcPr>
          <w:p w:rsidR="00872161" w:rsidRDefault="00872161" w:rsidP="00857A86">
            <w:pPr>
              <w:tabs>
                <w:tab w:val="left" w:pos="-720"/>
              </w:tabs>
              <w:suppressAutoHyphens/>
              <w:ind w:right="34"/>
            </w:pPr>
            <w:r>
              <w:t>Recommends no special instruction.</w:t>
            </w:r>
          </w:p>
        </w:tc>
        <w:tc>
          <w:tcPr>
            <w:tcW w:w="2623" w:type="dxa"/>
          </w:tcPr>
          <w:p w:rsidR="00872161" w:rsidRDefault="00872161" w:rsidP="00857A86">
            <w:pPr>
              <w:tabs>
                <w:tab w:val="left" w:pos="-720"/>
              </w:tabs>
              <w:suppressAutoHyphens/>
            </w:pPr>
            <w:r>
              <w:t>Superseded by IDJI2d 126A and 126B</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216</w:t>
            </w:r>
          </w:p>
        </w:tc>
        <w:tc>
          <w:tcPr>
            <w:tcW w:w="2852" w:type="dxa"/>
          </w:tcPr>
          <w:p w:rsidR="00872161" w:rsidRDefault="00872161" w:rsidP="00857A86">
            <w:pPr>
              <w:tabs>
                <w:tab w:val="left" w:pos="-720"/>
              </w:tabs>
              <w:suppressAutoHyphens/>
              <w:ind w:right="44"/>
            </w:pPr>
            <w:r>
              <w:t>Sudden emergency, or duty of one in imminent peril</w:t>
            </w:r>
          </w:p>
        </w:tc>
        <w:tc>
          <w:tcPr>
            <w:tcW w:w="2330" w:type="dxa"/>
          </w:tcPr>
          <w:p w:rsidR="00872161" w:rsidRDefault="00872161" w:rsidP="00857A86">
            <w:pPr>
              <w:tabs>
                <w:tab w:val="left" w:pos="-720"/>
              </w:tabs>
              <w:suppressAutoHyphens/>
              <w:ind w:right="34"/>
            </w:pPr>
            <w:r>
              <w:t>Recommends no special instruction</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217</w:t>
            </w:r>
          </w:p>
        </w:tc>
        <w:tc>
          <w:tcPr>
            <w:tcW w:w="2852" w:type="dxa"/>
          </w:tcPr>
          <w:p w:rsidR="00872161" w:rsidRDefault="00872161" w:rsidP="00857A86">
            <w:pPr>
              <w:tabs>
                <w:tab w:val="left" w:pos="-720"/>
              </w:tabs>
              <w:suppressAutoHyphens/>
              <w:ind w:right="134"/>
            </w:pPr>
            <w:r>
              <w:t>Fact of accident alone is not evidence of negligence</w:t>
            </w:r>
          </w:p>
        </w:tc>
        <w:tc>
          <w:tcPr>
            <w:tcW w:w="2330" w:type="dxa"/>
          </w:tcPr>
          <w:p w:rsidR="00872161" w:rsidRDefault="00872161" w:rsidP="00857A86">
            <w:pPr>
              <w:tabs>
                <w:tab w:val="left" w:pos="-720"/>
              </w:tabs>
              <w:suppressAutoHyphens/>
              <w:ind w:right="124"/>
            </w:pPr>
            <w:r>
              <w:t>Recommends no special instruction</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218</w:t>
            </w:r>
          </w:p>
        </w:tc>
        <w:tc>
          <w:tcPr>
            <w:tcW w:w="2852" w:type="dxa"/>
          </w:tcPr>
          <w:p w:rsidR="00872161" w:rsidRDefault="00872161" w:rsidP="00857A86">
            <w:pPr>
              <w:tabs>
                <w:tab w:val="left" w:pos="-720"/>
              </w:tabs>
              <w:suppressAutoHyphens/>
              <w:ind w:right="44"/>
            </w:pPr>
            <w:r>
              <w:t>Care to be commensurate with hazard</w:t>
            </w:r>
          </w:p>
        </w:tc>
        <w:tc>
          <w:tcPr>
            <w:tcW w:w="2330" w:type="dxa"/>
          </w:tcPr>
          <w:p w:rsidR="00872161" w:rsidRDefault="00872161" w:rsidP="00857A86">
            <w:pPr>
              <w:tabs>
                <w:tab w:val="left" w:pos="-720"/>
              </w:tabs>
              <w:suppressAutoHyphens/>
              <w:ind w:right="124"/>
            </w:pPr>
            <w:r>
              <w:t>Recommends no special instruction</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219</w:t>
            </w:r>
          </w:p>
        </w:tc>
        <w:tc>
          <w:tcPr>
            <w:tcW w:w="2852" w:type="dxa"/>
          </w:tcPr>
          <w:p w:rsidR="00872161" w:rsidRDefault="00872161" w:rsidP="00857A86">
            <w:pPr>
              <w:tabs>
                <w:tab w:val="left" w:pos="-720"/>
              </w:tabs>
              <w:suppressAutoHyphens/>
              <w:ind w:right="44"/>
            </w:pPr>
            <w:r>
              <w:t>Presumption as to conduct of others, etc." -- (person has a right to expect that others will obey the law, for example</w:t>
            </w:r>
          </w:p>
        </w:tc>
        <w:tc>
          <w:tcPr>
            <w:tcW w:w="2330" w:type="dxa"/>
          </w:tcPr>
          <w:p w:rsidR="00872161" w:rsidRDefault="00872161" w:rsidP="00857A86">
            <w:pPr>
              <w:tabs>
                <w:tab w:val="left" w:pos="-720"/>
              </w:tabs>
              <w:suppressAutoHyphens/>
              <w:ind w:right="124"/>
            </w:pPr>
            <w:r>
              <w:t>Recommends no special instruction</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pPr>
            <w:r>
              <w:t>220</w:t>
            </w:r>
          </w:p>
        </w:tc>
        <w:tc>
          <w:tcPr>
            <w:tcW w:w="2852" w:type="dxa"/>
          </w:tcPr>
          <w:p w:rsidR="00872161" w:rsidRDefault="00872161" w:rsidP="00857A86">
            <w:pPr>
              <w:tabs>
                <w:tab w:val="left" w:pos="-720"/>
              </w:tabs>
              <w:suppressAutoHyphens/>
              <w:ind w:right="44"/>
            </w:pPr>
            <w:r>
              <w:t>Intent not an element of negligence</w:t>
            </w:r>
          </w:p>
        </w:tc>
        <w:tc>
          <w:tcPr>
            <w:tcW w:w="2330" w:type="dxa"/>
          </w:tcPr>
          <w:p w:rsidR="00872161" w:rsidRDefault="00872161" w:rsidP="00857A86">
            <w:pPr>
              <w:tabs>
                <w:tab w:val="left" w:pos="-720"/>
              </w:tabs>
              <w:suppressAutoHyphens/>
              <w:ind w:right="124"/>
            </w:pPr>
            <w:r>
              <w:t>Recommends against negative element instruction.</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br w:type="page"/>
              <w:t>221</w:t>
            </w:r>
          </w:p>
        </w:tc>
        <w:tc>
          <w:tcPr>
            <w:tcW w:w="2852" w:type="dxa"/>
          </w:tcPr>
          <w:p w:rsidR="00872161" w:rsidRDefault="00872161" w:rsidP="00857A86">
            <w:pPr>
              <w:tabs>
                <w:tab w:val="left" w:pos="-720"/>
              </w:tabs>
              <w:suppressAutoHyphens/>
              <w:ind w:right="44"/>
            </w:pPr>
            <w:r>
              <w:t>Possibility of avoiding accident not a test of negligence.</w:t>
            </w:r>
          </w:p>
        </w:tc>
        <w:tc>
          <w:tcPr>
            <w:tcW w:w="2330" w:type="dxa"/>
          </w:tcPr>
          <w:p w:rsidR="00872161" w:rsidRDefault="00872161" w:rsidP="00857A86">
            <w:pPr>
              <w:tabs>
                <w:tab w:val="left" w:pos="-720"/>
              </w:tabs>
              <w:suppressAutoHyphens/>
              <w:ind w:right="124"/>
            </w:pPr>
            <w:r>
              <w:t>Recommends against “example” and “negative element” instructions</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222</w:t>
            </w:r>
          </w:p>
        </w:tc>
        <w:tc>
          <w:tcPr>
            <w:tcW w:w="2852" w:type="dxa"/>
          </w:tcPr>
          <w:p w:rsidR="00872161" w:rsidRDefault="00872161" w:rsidP="00857A86">
            <w:pPr>
              <w:tabs>
                <w:tab w:val="left" w:pos="-720"/>
                <w:tab w:val="left" w:pos="0"/>
                <w:tab w:val="left" w:pos="720"/>
              </w:tabs>
              <w:suppressAutoHyphens/>
              <w:spacing w:line="240" w:lineRule="atLeast"/>
              <w:ind w:left="-18" w:right="134"/>
            </w:pPr>
            <w:r>
              <w:t>Care required care required for safety of child</w:t>
            </w:r>
          </w:p>
          <w:p w:rsidR="00872161" w:rsidRDefault="00872161" w:rsidP="00857A86">
            <w:pPr>
              <w:tabs>
                <w:tab w:val="left" w:pos="-720"/>
                <w:tab w:val="left" w:pos="-18"/>
              </w:tabs>
              <w:suppressAutoHyphens/>
              <w:spacing w:line="240" w:lineRule="atLeast"/>
              <w:ind w:left="-18" w:right="44"/>
            </w:pPr>
          </w:p>
          <w:p w:rsidR="00872161" w:rsidRDefault="00872161" w:rsidP="00857A86">
            <w:pPr>
              <w:tabs>
                <w:tab w:val="left" w:pos="-720"/>
              </w:tabs>
              <w:suppressAutoHyphens/>
              <w:ind w:right="44"/>
            </w:pPr>
          </w:p>
        </w:tc>
        <w:tc>
          <w:tcPr>
            <w:tcW w:w="2330" w:type="dxa"/>
          </w:tcPr>
          <w:p w:rsidR="00872161" w:rsidRDefault="00872161" w:rsidP="00857A86">
            <w:pPr>
              <w:tabs>
                <w:tab w:val="left" w:pos="-720"/>
              </w:tabs>
              <w:suppressAutoHyphens/>
              <w:ind w:right="124"/>
            </w:pPr>
            <w:r>
              <w:t>Recommends against “example” instructions</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223</w:t>
            </w:r>
          </w:p>
        </w:tc>
        <w:tc>
          <w:tcPr>
            <w:tcW w:w="2852" w:type="dxa"/>
          </w:tcPr>
          <w:p w:rsidR="00872161" w:rsidRDefault="00872161" w:rsidP="00857A86">
            <w:pPr>
              <w:tabs>
                <w:tab w:val="left" w:pos="-720"/>
                <w:tab w:val="left" w:pos="0"/>
                <w:tab w:val="left" w:pos="720"/>
              </w:tabs>
              <w:suppressAutoHyphens/>
              <w:spacing w:line="240" w:lineRule="atLeast"/>
              <w:ind w:left="-18" w:right="134"/>
            </w:pPr>
            <w:r>
              <w:t>General Miscellaneous Factors</w:t>
            </w:r>
          </w:p>
        </w:tc>
        <w:tc>
          <w:tcPr>
            <w:tcW w:w="2330" w:type="dxa"/>
          </w:tcPr>
          <w:p w:rsidR="00872161" w:rsidRDefault="00872161" w:rsidP="00857A86">
            <w:pPr>
              <w:tabs>
                <w:tab w:val="left" w:pos="-720"/>
              </w:tabs>
              <w:suppressAutoHyphens/>
              <w:ind w:right="124"/>
            </w:pPr>
            <w:r>
              <w:t>Recommends against itemizing particular duties, other than reference to statutes or ordinances.</w:t>
            </w:r>
          </w:p>
        </w:tc>
        <w:tc>
          <w:tcPr>
            <w:tcW w:w="2623" w:type="dxa"/>
          </w:tcPr>
          <w:p w:rsidR="00872161" w:rsidRDefault="00872161" w:rsidP="00857A86">
            <w:pPr>
              <w:tabs>
                <w:tab w:val="left" w:pos="-720"/>
              </w:tabs>
              <w:suppressAutoHyphens/>
            </w:pPr>
            <w:r>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227</w:t>
            </w:r>
          </w:p>
        </w:tc>
        <w:tc>
          <w:tcPr>
            <w:tcW w:w="2852" w:type="dxa"/>
          </w:tcPr>
          <w:p w:rsidR="00872161" w:rsidRDefault="00872161" w:rsidP="00857A86">
            <w:pPr>
              <w:tabs>
                <w:tab w:val="left" w:pos="-720"/>
                <w:tab w:val="left" w:pos="0"/>
                <w:tab w:val="left" w:pos="720"/>
              </w:tabs>
              <w:suppressAutoHyphens/>
              <w:spacing w:line="240" w:lineRule="atLeast"/>
              <w:ind w:left="-18" w:right="134"/>
            </w:pPr>
            <w:r>
              <w:t>Proximate Cause – single factor</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r>
              <w:t>Omitted as redundant to IDJI2d 230</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231</w:t>
            </w:r>
          </w:p>
        </w:tc>
        <w:tc>
          <w:tcPr>
            <w:tcW w:w="2852" w:type="dxa"/>
          </w:tcPr>
          <w:p w:rsidR="00872161" w:rsidRDefault="00872161" w:rsidP="00857A86">
            <w:pPr>
              <w:tabs>
                <w:tab w:val="left" w:pos="-720"/>
                <w:tab w:val="left" w:pos="0"/>
                <w:tab w:val="left" w:pos="720"/>
              </w:tabs>
              <w:suppressAutoHyphens/>
              <w:spacing w:line="240" w:lineRule="atLeast"/>
              <w:ind w:left="-18" w:right="134"/>
            </w:pPr>
            <w:r>
              <w:t>Multiple Causes</w:t>
            </w:r>
          </w:p>
        </w:tc>
        <w:tc>
          <w:tcPr>
            <w:tcW w:w="2330" w:type="dxa"/>
          </w:tcPr>
          <w:p w:rsidR="00872161" w:rsidRDefault="00872161" w:rsidP="00857A86">
            <w:pPr>
              <w:tabs>
                <w:tab w:val="left" w:pos="-720"/>
              </w:tabs>
              <w:suppressAutoHyphens/>
              <w:ind w:right="124"/>
            </w:pPr>
            <w:r>
              <w:t>Recommends against separate instructions</w:t>
            </w:r>
          </w:p>
        </w:tc>
        <w:tc>
          <w:tcPr>
            <w:tcW w:w="2623" w:type="dxa"/>
          </w:tcPr>
          <w:p w:rsidR="00872161" w:rsidRDefault="00872161" w:rsidP="00857A86">
            <w:pPr>
              <w:tabs>
                <w:tab w:val="left" w:pos="-720"/>
              </w:tabs>
              <w:suppressAutoHyphens/>
              <w:ind w:right="47"/>
            </w:pPr>
            <w:r>
              <w:t>Agree – covered by IDJI2d 230A or 230B</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232</w:t>
            </w:r>
          </w:p>
        </w:tc>
        <w:tc>
          <w:tcPr>
            <w:tcW w:w="2852" w:type="dxa"/>
          </w:tcPr>
          <w:p w:rsidR="00872161" w:rsidRDefault="00872161" w:rsidP="00857A86">
            <w:pPr>
              <w:tabs>
                <w:tab w:val="left" w:pos="-720"/>
                <w:tab w:val="left" w:pos="0"/>
                <w:tab w:val="left" w:pos="720"/>
              </w:tabs>
              <w:suppressAutoHyphens/>
              <w:spacing w:line="240" w:lineRule="atLeast"/>
              <w:ind w:left="-18" w:right="134"/>
            </w:pPr>
            <w:r>
              <w:t>Last clear chance</w:t>
            </w:r>
          </w:p>
        </w:tc>
        <w:tc>
          <w:tcPr>
            <w:tcW w:w="2330" w:type="dxa"/>
          </w:tcPr>
          <w:p w:rsidR="00872161" w:rsidRDefault="00872161" w:rsidP="00857A86">
            <w:pPr>
              <w:tabs>
                <w:tab w:val="left" w:pos="-720"/>
              </w:tabs>
              <w:suppressAutoHyphens/>
              <w:ind w:right="124"/>
            </w:pPr>
            <w:r>
              <w:t>Omitted as covered by comparative negligence</w:t>
            </w:r>
          </w:p>
        </w:tc>
        <w:tc>
          <w:tcPr>
            <w:tcW w:w="2623" w:type="dxa"/>
          </w:tcPr>
          <w:p w:rsidR="00872161" w:rsidRDefault="00872161" w:rsidP="00857A86">
            <w:pPr>
              <w:tabs>
                <w:tab w:val="left" w:pos="-720"/>
              </w:tabs>
              <w:suppressAutoHyphens/>
              <w:ind w:right="47"/>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233</w:t>
            </w:r>
          </w:p>
        </w:tc>
        <w:tc>
          <w:tcPr>
            <w:tcW w:w="2852" w:type="dxa"/>
          </w:tcPr>
          <w:p w:rsidR="00872161" w:rsidRDefault="00872161" w:rsidP="00857A86">
            <w:pPr>
              <w:tabs>
                <w:tab w:val="left" w:pos="-720"/>
                <w:tab w:val="left" w:pos="0"/>
                <w:tab w:val="left" w:pos="720"/>
              </w:tabs>
              <w:suppressAutoHyphens/>
              <w:spacing w:line="240" w:lineRule="atLeast"/>
              <w:ind w:left="-18" w:right="134"/>
            </w:pPr>
            <w:r>
              <w:t>Unavoidable accident</w:t>
            </w:r>
          </w:p>
        </w:tc>
        <w:tc>
          <w:tcPr>
            <w:tcW w:w="2330" w:type="dxa"/>
          </w:tcPr>
          <w:p w:rsidR="00872161" w:rsidRDefault="00872161" w:rsidP="00857A86">
            <w:pPr>
              <w:tabs>
                <w:tab w:val="left" w:pos="-720"/>
              </w:tabs>
              <w:suppressAutoHyphens/>
              <w:ind w:right="124"/>
            </w:pPr>
            <w:r>
              <w:t xml:space="preserve">Recommend against special situation </w:t>
            </w:r>
            <w:r>
              <w:lastRenderedPageBreak/>
              <w:t>instruction, -- comment on evidence</w:t>
            </w:r>
          </w:p>
        </w:tc>
        <w:tc>
          <w:tcPr>
            <w:tcW w:w="2623" w:type="dxa"/>
          </w:tcPr>
          <w:p w:rsidR="00872161" w:rsidRDefault="00872161" w:rsidP="00857A86">
            <w:pPr>
              <w:tabs>
                <w:tab w:val="left" w:pos="-720"/>
              </w:tabs>
              <w:suppressAutoHyphens/>
              <w:ind w:right="47"/>
            </w:pPr>
            <w:r>
              <w:lastRenderedPageBreak/>
              <w:t>Agrees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lastRenderedPageBreak/>
              <w:t>246</w:t>
            </w:r>
          </w:p>
        </w:tc>
        <w:tc>
          <w:tcPr>
            <w:tcW w:w="2852" w:type="dxa"/>
          </w:tcPr>
          <w:p w:rsidR="00872161" w:rsidRDefault="00872161" w:rsidP="00857A86">
            <w:pPr>
              <w:tabs>
                <w:tab w:val="left" w:pos="-720"/>
                <w:tab w:val="left" w:pos="0"/>
                <w:tab w:val="left" w:pos="720"/>
              </w:tabs>
              <w:suppressAutoHyphens/>
              <w:spacing w:line="240" w:lineRule="atLeast"/>
              <w:ind w:left="-18" w:right="134"/>
            </w:pPr>
          </w:p>
        </w:tc>
        <w:tc>
          <w:tcPr>
            <w:tcW w:w="2330" w:type="dxa"/>
          </w:tcPr>
          <w:p w:rsidR="00872161" w:rsidRDefault="00872161" w:rsidP="00857A86">
            <w:pPr>
              <w:tabs>
                <w:tab w:val="left" w:pos="-720"/>
              </w:tabs>
              <w:suppressAutoHyphens/>
              <w:ind w:right="124"/>
            </w:pPr>
            <w:r>
              <w:t xml:space="preserve">Eliminated </w:t>
            </w: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250</w:t>
            </w:r>
          </w:p>
        </w:tc>
        <w:tc>
          <w:tcPr>
            <w:tcW w:w="2852" w:type="dxa"/>
          </w:tcPr>
          <w:p w:rsidR="00872161" w:rsidRDefault="00872161" w:rsidP="00857A86">
            <w:pPr>
              <w:tabs>
                <w:tab w:val="left" w:pos="-720"/>
                <w:tab w:val="left" w:pos="0"/>
                <w:tab w:val="left" w:pos="720"/>
              </w:tabs>
              <w:suppressAutoHyphens/>
              <w:spacing w:line="240" w:lineRule="atLeast"/>
              <w:ind w:left="-18" w:right="134"/>
            </w:pPr>
            <w:r>
              <w:t>Principal and agent – agency admitted</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r>
              <w:t>Omitted</w:t>
            </w:r>
          </w:p>
          <w:p w:rsidR="00872161" w:rsidRDefault="00872161" w:rsidP="00857A86">
            <w:pPr>
              <w:tabs>
                <w:tab w:val="left" w:pos="-720"/>
              </w:tabs>
              <w:suppressAutoHyphens/>
              <w:ind w:right="47"/>
            </w:pPr>
            <w:r>
              <w:t>See 6.40.1</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251</w:t>
            </w:r>
          </w:p>
        </w:tc>
        <w:tc>
          <w:tcPr>
            <w:tcW w:w="2852" w:type="dxa"/>
          </w:tcPr>
          <w:p w:rsidR="00872161" w:rsidRDefault="00872161" w:rsidP="00857A86">
            <w:pPr>
              <w:tabs>
                <w:tab w:val="left" w:pos="-720"/>
                <w:tab w:val="left" w:pos="0"/>
                <w:tab w:val="left" w:pos="720"/>
              </w:tabs>
              <w:suppressAutoHyphens/>
              <w:spacing w:line="240" w:lineRule="atLeast"/>
              <w:ind w:left="-18" w:right="134"/>
            </w:pPr>
            <w:r>
              <w:t>Agency – issue as to agency</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r>
              <w:t>Omitted</w:t>
            </w:r>
          </w:p>
          <w:p w:rsidR="00872161" w:rsidRDefault="00872161" w:rsidP="00857A86">
            <w:pPr>
              <w:tabs>
                <w:tab w:val="left" w:pos="-720"/>
              </w:tabs>
              <w:suppressAutoHyphens/>
              <w:ind w:right="47"/>
            </w:pPr>
            <w:r>
              <w:t xml:space="preserve">See series 6.40-6.49 </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253</w:t>
            </w:r>
          </w:p>
        </w:tc>
        <w:tc>
          <w:tcPr>
            <w:tcW w:w="2852" w:type="dxa"/>
          </w:tcPr>
          <w:p w:rsidR="00872161" w:rsidRDefault="00872161" w:rsidP="00857A86">
            <w:pPr>
              <w:tabs>
                <w:tab w:val="left" w:pos="-720"/>
                <w:tab w:val="left" w:pos="0"/>
                <w:tab w:val="left" w:pos="720"/>
              </w:tabs>
              <w:suppressAutoHyphens/>
              <w:spacing w:line="240" w:lineRule="atLeast"/>
              <w:ind w:left="-18" w:right="134"/>
            </w:pPr>
            <w:r>
              <w:t>Agency scope of authority</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r>
              <w:t>Omitted</w:t>
            </w:r>
          </w:p>
          <w:p w:rsidR="00872161" w:rsidRDefault="00872161" w:rsidP="00857A86">
            <w:pPr>
              <w:tabs>
                <w:tab w:val="left" w:pos="-720"/>
              </w:tabs>
              <w:suppressAutoHyphens/>
              <w:ind w:right="47"/>
            </w:pPr>
            <w:r>
              <w:t>See 6.43.1</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254</w:t>
            </w:r>
          </w:p>
        </w:tc>
        <w:tc>
          <w:tcPr>
            <w:tcW w:w="2852" w:type="dxa"/>
          </w:tcPr>
          <w:p w:rsidR="00872161" w:rsidRDefault="00872161" w:rsidP="00857A86">
            <w:pPr>
              <w:tabs>
                <w:tab w:val="left" w:pos="-720"/>
                <w:tab w:val="left" w:pos="0"/>
                <w:tab w:val="left" w:pos="720"/>
              </w:tabs>
              <w:suppressAutoHyphens/>
              <w:spacing w:line="240" w:lineRule="atLeast"/>
              <w:ind w:left="-18" w:right="134"/>
            </w:pPr>
            <w:r>
              <w:t xml:space="preserve">Eliminated </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297</w:t>
            </w:r>
          </w:p>
        </w:tc>
        <w:tc>
          <w:tcPr>
            <w:tcW w:w="2852" w:type="dxa"/>
          </w:tcPr>
          <w:p w:rsidR="00872161" w:rsidRDefault="00872161" w:rsidP="00857A86">
            <w:pPr>
              <w:tabs>
                <w:tab w:val="left" w:pos="-720"/>
                <w:tab w:val="left" w:pos="0"/>
                <w:tab w:val="left" w:pos="720"/>
              </w:tabs>
              <w:suppressAutoHyphens/>
              <w:spacing w:line="240" w:lineRule="atLeast"/>
              <w:ind w:left="-18" w:right="134"/>
            </w:pPr>
            <w:r>
              <w:t>Specific duty – amusement devices or ski lifts</w:t>
            </w:r>
          </w:p>
        </w:tc>
        <w:tc>
          <w:tcPr>
            <w:tcW w:w="2330" w:type="dxa"/>
          </w:tcPr>
          <w:p w:rsidR="00872161" w:rsidRDefault="00872161" w:rsidP="00857A86">
            <w:pPr>
              <w:tabs>
                <w:tab w:val="left" w:pos="-720"/>
              </w:tabs>
              <w:suppressAutoHyphens/>
              <w:ind w:right="124"/>
            </w:pPr>
            <w:r>
              <w:t>Incorrect statement of law</w:t>
            </w: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298</w:t>
            </w:r>
          </w:p>
        </w:tc>
        <w:tc>
          <w:tcPr>
            <w:tcW w:w="2852" w:type="dxa"/>
          </w:tcPr>
          <w:p w:rsidR="00872161" w:rsidRDefault="00872161" w:rsidP="00857A86">
            <w:pPr>
              <w:tabs>
                <w:tab w:val="left" w:pos="-720"/>
                <w:tab w:val="left" w:pos="0"/>
                <w:tab w:val="left" w:pos="720"/>
              </w:tabs>
              <w:suppressAutoHyphens/>
              <w:spacing w:line="240" w:lineRule="atLeast"/>
              <w:ind w:left="-18" w:right="134"/>
            </w:pPr>
            <w:r>
              <w:t>Circumstance of liability to employees of contractor</w:t>
            </w:r>
          </w:p>
        </w:tc>
        <w:tc>
          <w:tcPr>
            <w:tcW w:w="2330" w:type="dxa"/>
          </w:tcPr>
          <w:p w:rsidR="00872161" w:rsidRDefault="00872161" w:rsidP="00857A86">
            <w:pPr>
              <w:tabs>
                <w:tab w:val="left" w:pos="-720"/>
              </w:tabs>
              <w:suppressAutoHyphens/>
              <w:ind w:right="124"/>
            </w:pPr>
            <w:proofErr w:type="spellStart"/>
            <w:r>
              <w:t>Superceded</w:t>
            </w:r>
            <w:proofErr w:type="spellEnd"/>
            <w:r>
              <w:t xml:space="preserve"> by changes to Workers’ Compensation Act</w:t>
            </w: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299</w:t>
            </w:r>
          </w:p>
        </w:tc>
        <w:tc>
          <w:tcPr>
            <w:tcW w:w="2852" w:type="dxa"/>
          </w:tcPr>
          <w:p w:rsidR="00872161" w:rsidRDefault="00872161" w:rsidP="00857A86">
            <w:pPr>
              <w:tabs>
                <w:tab w:val="left" w:pos="-720"/>
                <w:tab w:val="left" w:pos="0"/>
                <w:tab w:val="left" w:pos="720"/>
              </w:tabs>
              <w:suppressAutoHyphens/>
              <w:spacing w:line="240" w:lineRule="atLeast"/>
              <w:ind w:left="-18" w:right="134"/>
            </w:pPr>
            <w:r>
              <w:t>Liability of contractor to employees of subcontractor</w:t>
            </w:r>
          </w:p>
        </w:tc>
        <w:tc>
          <w:tcPr>
            <w:tcW w:w="2330" w:type="dxa"/>
          </w:tcPr>
          <w:p w:rsidR="00872161" w:rsidRDefault="00872161" w:rsidP="00857A86">
            <w:pPr>
              <w:tabs>
                <w:tab w:val="left" w:pos="-720"/>
              </w:tabs>
              <w:suppressAutoHyphens/>
              <w:ind w:right="124"/>
            </w:pPr>
            <w:r>
              <w:t>Eliminated by Worker’s Compensation amendments</w:t>
            </w: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302</w:t>
            </w:r>
          </w:p>
        </w:tc>
        <w:tc>
          <w:tcPr>
            <w:tcW w:w="2852" w:type="dxa"/>
          </w:tcPr>
          <w:p w:rsidR="00872161" w:rsidRDefault="00872161" w:rsidP="00857A86">
            <w:pPr>
              <w:tabs>
                <w:tab w:val="left" w:pos="-720"/>
                <w:tab w:val="left" w:pos="0"/>
                <w:tab w:val="left" w:pos="720"/>
              </w:tabs>
              <w:suppressAutoHyphens/>
              <w:spacing w:line="240" w:lineRule="atLeast"/>
              <w:ind w:left="-18" w:right="134"/>
            </w:pPr>
            <w:r>
              <w:t>Subcontractor is invitee of general contractor</w:t>
            </w:r>
          </w:p>
        </w:tc>
        <w:tc>
          <w:tcPr>
            <w:tcW w:w="2330" w:type="dxa"/>
          </w:tcPr>
          <w:p w:rsidR="00872161" w:rsidRDefault="00872161" w:rsidP="00857A86">
            <w:pPr>
              <w:tabs>
                <w:tab w:val="left" w:pos="-720"/>
              </w:tabs>
              <w:suppressAutoHyphens/>
              <w:ind w:right="124"/>
            </w:pPr>
            <w:r>
              <w:t>Eliminated by Worker’s Compensation amendments</w:t>
            </w: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320-334</w:t>
            </w:r>
          </w:p>
        </w:tc>
        <w:tc>
          <w:tcPr>
            <w:tcW w:w="2852" w:type="dxa"/>
          </w:tcPr>
          <w:p w:rsidR="00872161" w:rsidRDefault="00872161" w:rsidP="00857A86">
            <w:pPr>
              <w:tabs>
                <w:tab w:val="left" w:pos="-720"/>
                <w:tab w:val="left" w:pos="0"/>
                <w:tab w:val="left" w:pos="720"/>
              </w:tabs>
              <w:suppressAutoHyphens/>
              <w:spacing w:line="240" w:lineRule="atLeast"/>
              <w:ind w:left="-18" w:right="134"/>
            </w:pPr>
            <w:r>
              <w:t>Elements instruction against public entities</w:t>
            </w:r>
          </w:p>
        </w:tc>
        <w:tc>
          <w:tcPr>
            <w:tcW w:w="2330" w:type="dxa"/>
          </w:tcPr>
          <w:p w:rsidR="00872161" w:rsidRDefault="00872161" w:rsidP="00857A86">
            <w:pPr>
              <w:tabs>
                <w:tab w:val="left" w:pos="-720"/>
              </w:tabs>
              <w:suppressAutoHyphens/>
              <w:ind w:right="124"/>
            </w:pPr>
            <w:r>
              <w:t>No longer applicable</w:t>
            </w:r>
          </w:p>
        </w:tc>
        <w:tc>
          <w:tcPr>
            <w:tcW w:w="2623" w:type="dxa"/>
          </w:tcPr>
          <w:p w:rsidR="00872161" w:rsidRDefault="00872161" w:rsidP="00857A86">
            <w:pPr>
              <w:tabs>
                <w:tab w:val="left" w:pos="-720"/>
              </w:tabs>
              <w:suppressAutoHyphens/>
              <w:ind w:right="47"/>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321</w:t>
            </w:r>
          </w:p>
        </w:tc>
        <w:tc>
          <w:tcPr>
            <w:tcW w:w="2852" w:type="dxa"/>
          </w:tcPr>
          <w:p w:rsidR="00872161" w:rsidRDefault="00872161" w:rsidP="00857A86">
            <w:pPr>
              <w:tabs>
                <w:tab w:val="left" w:pos="-720"/>
                <w:tab w:val="left" w:pos="0"/>
                <w:tab w:val="left" w:pos="720"/>
              </w:tabs>
              <w:suppressAutoHyphens/>
              <w:spacing w:line="240" w:lineRule="atLeast"/>
              <w:ind w:left="-18" w:right="134"/>
            </w:pPr>
            <w:r>
              <w:t>Actual notice to public entity</w:t>
            </w:r>
          </w:p>
        </w:tc>
        <w:tc>
          <w:tcPr>
            <w:tcW w:w="2330" w:type="dxa"/>
          </w:tcPr>
          <w:p w:rsidR="00872161" w:rsidRDefault="00872161" w:rsidP="00857A86">
            <w:pPr>
              <w:tabs>
                <w:tab w:val="left" w:pos="-720"/>
              </w:tabs>
              <w:suppressAutoHyphens/>
              <w:ind w:right="124"/>
            </w:pPr>
            <w:r>
              <w:t>Deleted</w:t>
            </w:r>
          </w:p>
        </w:tc>
        <w:tc>
          <w:tcPr>
            <w:tcW w:w="2623" w:type="dxa"/>
          </w:tcPr>
          <w:p w:rsidR="00872161" w:rsidRDefault="00872161" w:rsidP="00857A86">
            <w:pPr>
              <w:tabs>
                <w:tab w:val="left" w:pos="-720"/>
              </w:tabs>
              <w:suppressAutoHyphens/>
              <w:ind w:right="47"/>
            </w:pPr>
            <w:r>
              <w:t>Covered by 3.07</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322</w:t>
            </w:r>
          </w:p>
        </w:tc>
        <w:tc>
          <w:tcPr>
            <w:tcW w:w="2852" w:type="dxa"/>
          </w:tcPr>
          <w:p w:rsidR="00872161" w:rsidRDefault="00872161" w:rsidP="00857A86">
            <w:pPr>
              <w:tabs>
                <w:tab w:val="left" w:pos="-720"/>
                <w:tab w:val="left" w:pos="0"/>
                <w:tab w:val="left" w:pos="720"/>
              </w:tabs>
              <w:suppressAutoHyphens/>
              <w:spacing w:line="240" w:lineRule="atLeast"/>
              <w:ind w:left="-18" w:right="134"/>
            </w:pPr>
            <w:r>
              <w:t>Constructive notice to public entity</w:t>
            </w:r>
          </w:p>
        </w:tc>
        <w:tc>
          <w:tcPr>
            <w:tcW w:w="2330" w:type="dxa"/>
          </w:tcPr>
          <w:p w:rsidR="00872161" w:rsidRDefault="00872161" w:rsidP="00857A86">
            <w:pPr>
              <w:tabs>
                <w:tab w:val="left" w:pos="-720"/>
              </w:tabs>
              <w:suppressAutoHyphens/>
              <w:ind w:right="124"/>
            </w:pPr>
            <w:r>
              <w:t>Deleted</w:t>
            </w:r>
          </w:p>
        </w:tc>
        <w:tc>
          <w:tcPr>
            <w:tcW w:w="2623" w:type="dxa"/>
          </w:tcPr>
          <w:p w:rsidR="00872161" w:rsidRDefault="00872161" w:rsidP="00857A86">
            <w:pPr>
              <w:tabs>
                <w:tab w:val="left" w:pos="-720"/>
              </w:tabs>
              <w:suppressAutoHyphens/>
              <w:ind w:right="47"/>
            </w:pPr>
            <w:r>
              <w:t>Covered by revised 3.05</w:t>
            </w:r>
          </w:p>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323</w:t>
            </w:r>
          </w:p>
        </w:tc>
        <w:tc>
          <w:tcPr>
            <w:tcW w:w="2852" w:type="dxa"/>
          </w:tcPr>
          <w:p w:rsidR="00872161" w:rsidRDefault="00872161" w:rsidP="00857A86">
            <w:pPr>
              <w:tabs>
                <w:tab w:val="left" w:pos="-720"/>
                <w:tab w:val="left" w:pos="0"/>
                <w:tab w:val="left" w:pos="720"/>
              </w:tabs>
              <w:suppressAutoHyphens/>
              <w:spacing w:line="240" w:lineRule="atLeast"/>
              <w:ind w:left="-18" w:right="134"/>
            </w:pPr>
            <w:r>
              <w:t>Limitations on liability of governmental entity</w:t>
            </w:r>
          </w:p>
        </w:tc>
        <w:tc>
          <w:tcPr>
            <w:tcW w:w="2330" w:type="dxa"/>
          </w:tcPr>
          <w:p w:rsidR="00872161" w:rsidRDefault="00872161" w:rsidP="00857A86">
            <w:pPr>
              <w:tabs>
                <w:tab w:val="left" w:pos="-720"/>
              </w:tabs>
              <w:suppressAutoHyphens/>
              <w:ind w:right="124"/>
            </w:pPr>
            <w:r>
              <w:t>Tort Claims Act makes liability issues same as private entities</w:t>
            </w:r>
          </w:p>
        </w:tc>
        <w:tc>
          <w:tcPr>
            <w:tcW w:w="2623" w:type="dxa"/>
          </w:tcPr>
          <w:p w:rsidR="00872161" w:rsidRDefault="00872161" w:rsidP="00857A86">
            <w:pPr>
              <w:tabs>
                <w:tab w:val="left" w:pos="-720"/>
              </w:tabs>
              <w:suppressAutoHyphens/>
              <w:ind w:right="47"/>
            </w:pPr>
            <w:r>
              <w:t>Covered by 293, etc.</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400</w:t>
            </w:r>
          </w:p>
        </w:tc>
        <w:tc>
          <w:tcPr>
            <w:tcW w:w="2852" w:type="dxa"/>
          </w:tcPr>
          <w:p w:rsidR="00872161" w:rsidRDefault="00872161" w:rsidP="00857A86">
            <w:pPr>
              <w:tabs>
                <w:tab w:val="left" w:pos="-720"/>
                <w:tab w:val="left" w:pos="0"/>
                <w:tab w:val="left" w:pos="720"/>
              </w:tabs>
              <w:suppressAutoHyphens/>
              <w:spacing w:line="240" w:lineRule="atLeast"/>
              <w:ind w:left="-18" w:right="134"/>
            </w:pP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r>
              <w:t>Covered by 10.03.1</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401</w:t>
            </w:r>
          </w:p>
        </w:tc>
        <w:tc>
          <w:tcPr>
            <w:tcW w:w="2852" w:type="dxa"/>
          </w:tcPr>
          <w:p w:rsidR="00872161" w:rsidRDefault="00872161" w:rsidP="00857A86">
            <w:pPr>
              <w:tabs>
                <w:tab w:val="left" w:pos="-720"/>
                <w:tab w:val="left" w:pos="0"/>
                <w:tab w:val="left" w:pos="720"/>
              </w:tabs>
              <w:suppressAutoHyphens/>
              <w:spacing w:line="240" w:lineRule="atLeast"/>
              <w:ind w:left="-18" w:right="134"/>
            </w:pPr>
          </w:p>
        </w:tc>
        <w:tc>
          <w:tcPr>
            <w:tcW w:w="2330" w:type="dxa"/>
          </w:tcPr>
          <w:p w:rsidR="00872161" w:rsidRDefault="00872161" w:rsidP="00857A86">
            <w:pPr>
              <w:tabs>
                <w:tab w:val="left" w:pos="-720"/>
              </w:tabs>
              <w:suppressAutoHyphens/>
              <w:ind w:right="124"/>
            </w:pPr>
            <w:r>
              <w:t>Not correct statement of law</w:t>
            </w:r>
          </w:p>
        </w:tc>
        <w:tc>
          <w:tcPr>
            <w:tcW w:w="2623" w:type="dxa"/>
          </w:tcPr>
          <w:p w:rsidR="00872161" w:rsidRDefault="00872161" w:rsidP="00857A86">
            <w:pPr>
              <w:tabs>
                <w:tab w:val="left" w:pos="-720"/>
              </w:tabs>
              <w:suppressAutoHyphens/>
              <w:ind w:right="47"/>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411</w:t>
            </w:r>
          </w:p>
        </w:tc>
        <w:tc>
          <w:tcPr>
            <w:tcW w:w="2852" w:type="dxa"/>
          </w:tcPr>
          <w:p w:rsidR="00872161" w:rsidRDefault="00872161" w:rsidP="00857A86">
            <w:pPr>
              <w:tabs>
                <w:tab w:val="left" w:pos="-720"/>
                <w:tab w:val="left" w:pos="0"/>
                <w:tab w:val="left" w:pos="720"/>
              </w:tabs>
              <w:suppressAutoHyphens/>
              <w:spacing w:line="240" w:lineRule="atLeast"/>
              <w:ind w:left="-18" w:right="134"/>
            </w:pPr>
            <w:r>
              <w:t>Definition of “probable cause”</w:t>
            </w:r>
          </w:p>
        </w:tc>
        <w:tc>
          <w:tcPr>
            <w:tcW w:w="2330" w:type="dxa"/>
          </w:tcPr>
          <w:p w:rsidR="00872161" w:rsidRDefault="00872161" w:rsidP="00857A86">
            <w:pPr>
              <w:tabs>
                <w:tab w:val="left" w:pos="-720"/>
              </w:tabs>
              <w:suppressAutoHyphens/>
              <w:ind w:right="124"/>
            </w:pPr>
            <w:r>
              <w:t>Determination is for Court not jury</w:t>
            </w: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481</w:t>
            </w:r>
          </w:p>
        </w:tc>
        <w:tc>
          <w:tcPr>
            <w:tcW w:w="2852" w:type="dxa"/>
          </w:tcPr>
          <w:p w:rsidR="00872161" w:rsidRDefault="00872161" w:rsidP="00857A86">
            <w:pPr>
              <w:tabs>
                <w:tab w:val="left" w:pos="-720"/>
                <w:tab w:val="left" w:pos="0"/>
                <w:tab w:val="left" w:pos="720"/>
              </w:tabs>
              <w:suppressAutoHyphens/>
              <w:spacing w:line="240" w:lineRule="atLeast"/>
              <w:ind w:left="-18" w:right="134"/>
            </w:pPr>
            <w:r>
              <w:t>Definition of express malice</w:t>
            </w:r>
          </w:p>
        </w:tc>
        <w:tc>
          <w:tcPr>
            <w:tcW w:w="2330" w:type="dxa"/>
          </w:tcPr>
          <w:p w:rsidR="00872161" w:rsidRDefault="00872161" w:rsidP="00857A86">
            <w:pPr>
              <w:tabs>
                <w:tab w:val="left" w:pos="-720"/>
              </w:tabs>
              <w:suppressAutoHyphens/>
              <w:ind w:right="124"/>
            </w:pPr>
            <w:r>
              <w:t>Recommended to define the elements</w:t>
            </w: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490-491</w:t>
            </w:r>
          </w:p>
        </w:tc>
        <w:tc>
          <w:tcPr>
            <w:tcW w:w="2852" w:type="dxa"/>
          </w:tcPr>
          <w:p w:rsidR="00872161" w:rsidRDefault="00872161" w:rsidP="00857A86">
            <w:pPr>
              <w:tabs>
                <w:tab w:val="left" w:pos="-720"/>
                <w:tab w:val="left" w:pos="0"/>
                <w:tab w:val="left" w:pos="720"/>
              </w:tabs>
              <w:suppressAutoHyphens/>
              <w:spacing w:line="240" w:lineRule="atLeast"/>
              <w:ind w:left="-18" w:right="134"/>
            </w:pPr>
            <w:r>
              <w:t>Eliminated</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605</w:t>
            </w:r>
          </w:p>
        </w:tc>
        <w:tc>
          <w:tcPr>
            <w:tcW w:w="2852" w:type="dxa"/>
          </w:tcPr>
          <w:p w:rsidR="00872161" w:rsidRDefault="00872161" w:rsidP="00857A86">
            <w:pPr>
              <w:tabs>
                <w:tab w:val="left" w:pos="-720"/>
                <w:tab w:val="left" w:pos="0"/>
                <w:tab w:val="left" w:pos="720"/>
              </w:tabs>
              <w:suppressAutoHyphens/>
              <w:spacing w:line="240" w:lineRule="atLeast"/>
              <w:ind w:left="-18" w:right="134"/>
            </w:pPr>
            <w:r>
              <w:t>Contract discharged in bankruptcy</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r>
              <w:t>Omitted, as too specialized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606</w:t>
            </w:r>
          </w:p>
        </w:tc>
        <w:tc>
          <w:tcPr>
            <w:tcW w:w="2852" w:type="dxa"/>
          </w:tcPr>
          <w:p w:rsidR="00872161" w:rsidRDefault="00872161" w:rsidP="00857A86">
            <w:pPr>
              <w:tabs>
                <w:tab w:val="left" w:pos="-720"/>
                <w:tab w:val="left" w:pos="0"/>
                <w:tab w:val="left" w:pos="720"/>
              </w:tabs>
              <w:suppressAutoHyphens/>
              <w:spacing w:line="240" w:lineRule="atLeast"/>
              <w:ind w:left="-18" w:right="134"/>
            </w:pPr>
            <w:r>
              <w:t>Eliminated</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lastRenderedPageBreak/>
              <w:t>611</w:t>
            </w:r>
          </w:p>
        </w:tc>
        <w:tc>
          <w:tcPr>
            <w:tcW w:w="2852" w:type="dxa"/>
          </w:tcPr>
          <w:p w:rsidR="00872161" w:rsidRDefault="00872161" w:rsidP="00857A86">
            <w:pPr>
              <w:tabs>
                <w:tab w:val="left" w:pos="-720"/>
                <w:tab w:val="left" w:pos="0"/>
                <w:tab w:val="left" w:pos="720"/>
              </w:tabs>
              <w:suppressAutoHyphens/>
              <w:spacing w:line="240" w:lineRule="atLeast"/>
              <w:ind w:left="-18" w:right="134"/>
            </w:pPr>
            <w:r>
              <w:t>Prevention of performance</w:t>
            </w:r>
          </w:p>
        </w:tc>
        <w:tc>
          <w:tcPr>
            <w:tcW w:w="2330" w:type="dxa"/>
          </w:tcPr>
          <w:p w:rsidR="00872161" w:rsidRDefault="00872161" w:rsidP="00857A86">
            <w:pPr>
              <w:tabs>
                <w:tab w:val="left" w:pos="-720"/>
              </w:tabs>
              <w:suppressAutoHyphens/>
              <w:ind w:right="124"/>
            </w:pPr>
            <w:r>
              <w:t>Incomplete statement of the law as written</w:t>
            </w:r>
          </w:p>
        </w:tc>
        <w:tc>
          <w:tcPr>
            <w:tcW w:w="2623" w:type="dxa"/>
          </w:tcPr>
          <w:p w:rsidR="00872161" w:rsidRDefault="00872161" w:rsidP="00857A86">
            <w:pPr>
              <w:tabs>
                <w:tab w:val="left" w:pos="-720"/>
              </w:tabs>
              <w:suppressAutoHyphens/>
              <w:ind w:right="47"/>
            </w:pPr>
            <w:r>
              <w:t>Covered in other instructions</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612</w:t>
            </w:r>
          </w:p>
        </w:tc>
        <w:tc>
          <w:tcPr>
            <w:tcW w:w="2852" w:type="dxa"/>
          </w:tcPr>
          <w:p w:rsidR="00872161" w:rsidRDefault="00872161" w:rsidP="00857A86">
            <w:pPr>
              <w:tabs>
                <w:tab w:val="left" w:pos="-720"/>
                <w:tab w:val="left" w:pos="0"/>
                <w:tab w:val="left" w:pos="720"/>
              </w:tabs>
              <w:suppressAutoHyphens/>
              <w:spacing w:line="240" w:lineRule="atLeast"/>
              <w:ind w:left="-18" w:right="134"/>
            </w:pPr>
            <w:r>
              <w:t>Eliminated</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614</w:t>
            </w:r>
          </w:p>
        </w:tc>
        <w:tc>
          <w:tcPr>
            <w:tcW w:w="2852" w:type="dxa"/>
          </w:tcPr>
          <w:p w:rsidR="00872161" w:rsidRDefault="00872161" w:rsidP="00857A86">
            <w:pPr>
              <w:tabs>
                <w:tab w:val="left" w:pos="-720"/>
                <w:tab w:val="left" w:pos="0"/>
                <w:tab w:val="left" w:pos="720"/>
              </w:tabs>
              <w:suppressAutoHyphens/>
              <w:spacing w:line="240" w:lineRule="atLeast"/>
              <w:ind w:left="-18" w:right="134"/>
            </w:pPr>
          </w:p>
        </w:tc>
        <w:tc>
          <w:tcPr>
            <w:tcW w:w="2330" w:type="dxa"/>
          </w:tcPr>
          <w:p w:rsidR="00872161" w:rsidRDefault="00872161" w:rsidP="00857A86">
            <w:pPr>
              <w:tabs>
                <w:tab w:val="left" w:pos="-720"/>
              </w:tabs>
              <w:suppressAutoHyphens/>
              <w:ind w:right="124"/>
            </w:pPr>
            <w:r>
              <w:t>Too specific</w:t>
            </w:r>
          </w:p>
          <w:p w:rsidR="00872161" w:rsidRDefault="00872161" w:rsidP="00857A86">
            <w:pPr>
              <w:tabs>
                <w:tab w:val="left" w:pos="-720"/>
              </w:tabs>
              <w:suppressAutoHyphens/>
              <w:ind w:right="124"/>
            </w:pPr>
            <w:r>
              <w:t>Not correct statement of law</w:t>
            </w: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654</w:t>
            </w:r>
          </w:p>
        </w:tc>
        <w:tc>
          <w:tcPr>
            <w:tcW w:w="2852" w:type="dxa"/>
          </w:tcPr>
          <w:p w:rsidR="00872161" w:rsidRDefault="00872161" w:rsidP="00857A86">
            <w:pPr>
              <w:tabs>
                <w:tab w:val="left" w:pos="-720"/>
                <w:tab w:val="left" w:pos="0"/>
                <w:tab w:val="left" w:pos="720"/>
              </w:tabs>
              <w:suppressAutoHyphens/>
              <w:spacing w:line="240" w:lineRule="atLeast"/>
              <w:ind w:left="-18" w:right="134"/>
            </w:pPr>
            <w:r>
              <w:t>Eliminated</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662-663</w:t>
            </w:r>
          </w:p>
        </w:tc>
        <w:tc>
          <w:tcPr>
            <w:tcW w:w="2852" w:type="dxa"/>
          </w:tcPr>
          <w:p w:rsidR="00872161" w:rsidRDefault="00872161" w:rsidP="00857A86">
            <w:pPr>
              <w:tabs>
                <w:tab w:val="left" w:pos="-720"/>
                <w:tab w:val="left" w:pos="0"/>
                <w:tab w:val="left" w:pos="720"/>
              </w:tabs>
              <w:suppressAutoHyphens/>
              <w:spacing w:line="240" w:lineRule="atLeast"/>
              <w:ind w:left="-18" w:right="134"/>
            </w:pPr>
            <w:r>
              <w:t>Eliminated</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630</w:t>
            </w:r>
          </w:p>
        </w:tc>
        <w:tc>
          <w:tcPr>
            <w:tcW w:w="2852" w:type="dxa"/>
          </w:tcPr>
          <w:p w:rsidR="00872161" w:rsidRDefault="00872161" w:rsidP="00857A86">
            <w:pPr>
              <w:tabs>
                <w:tab w:val="left" w:pos="-720"/>
                <w:tab w:val="left" w:pos="0"/>
                <w:tab w:val="left" w:pos="720"/>
              </w:tabs>
              <w:suppressAutoHyphens/>
              <w:spacing w:line="240" w:lineRule="atLeast"/>
              <w:ind w:left="-18" w:right="134"/>
            </w:pPr>
            <w:r>
              <w:t>Eliminated</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704</w:t>
            </w:r>
          </w:p>
        </w:tc>
        <w:tc>
          <w:tcPr>
            <w:tcW w:w="2852" w:type="dxa"/>
          </w:tcPr>
          <w:p w:rsidR="00872161" w:rsidRDefault="00872161" w:rsidP="00857A86">
            <w:pPr>
              <w:tabs>
                <w:tab w:val="left" w:pos="-720"/>
                <w:tab w:val="left" w:pos="0"/>
                <w:tab w:val="left" w:pos="720"/>
              </w:tabs>
              <w:suppressAutoHyphens/>
              <w:spacing w:line="240" w:lineRule="atLeast"/>
              <w:ind w:left="-18" w:right="134"/>
            </w:pPr>
            <w:r>
              <w:t>Eliminated</w:t>
            </w: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913</w:t>
            </w:r>
          </w:p>
        </w:tc>
        <w:tc>
          <w:tcPr>
            <w:tcW w:w="2852" w:type="dxa"/>
          </w:tcPr>
          <w:p w:rsidR="00872161" w:rsidRDefault="00872161" w:rsidP="00857A86">
            <w:pPr>
              <w:tabs>
                <w:tab w:val="left" w:pos="-720"/>
                <w:tab w:val="left" w:pos="0"/>
                <w:tab w:val="left" w:pos="720"/>
              </w:tabs>
              <w:suppressAutoHyphens/>
              <w:spacing w:line="240" w:lineRule="atLeast"/>
              <w:ind w:left="-18" w:right="134"/>
            </w:pPr>
          </w:p>
        </w:tc>
        <w:tc>
          <w:tcPr>
            <w:tcW w:w="2330" w:type="dxa"/>
          </w:tcPr>
          <w:p w:rsidR="00872161" w:rsidRDefault="00872161" w:rsidP="00857A86">
            <w:pPr>
              <w:tabs>
                <w:tab w:val="left" w:pos="-720"/>
              </w:tabs>
              <w:suppressAutoHyphens/>
              <w:ind w:right="124"/>
            </w:pPr>
          </w:p>
        </w:tc>
        <w:tc>
          <w:tcPr>
            <w:tcW w:w="2623" w:type="dxa"/>
          </w:tcPr>
          <w:p w:rsidR="00872161" w:rsidRDefault="00872161" w:rsidP="00857A86">
            <w:pPr>
              <w:tabs>
                <w:tab w:val="left" w:pos="-720"/>
              </w:tabs>
              <w:suppressAutoHyphens/>
              <w:ind w:right="47"/>
            </w:pPr>
            <w:r>
              <w:t>See 912</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916</w:t>
            </w:r>
          </w:p>
        </w:tc>
        <w:tc>
          <w:tcPr>
            <w:tcW w:w="2852" w:type="dxa"/>
          </w:tcPr>
          <w:p w:rsidR="00872161" w:rsidRDefault="00872161" w:rsidP="00857A86">
            <w:pPr>
              <w:tabs>
                <w:tab w:val="left" w:pos="-720"/>
                <w:tab w:val="left" w:pos="0"/>
                <w:tab w:val="left" w:pos="720"/>
              </w:tabs>
              <w:suppressAutoHyphens/>
              <w:spacing w:line="240" w:lineRule="atLeast"/>
              <w:ind w:left="-18" w:right="134"/>
            </w:pPr>
            <w:r>
              <w:t>Elements of damage – breach of contract</w:t>
            </w:r>
          </w:p>
        </w:tc>
        <w:tc>
          <w:tcPr>
            <w:tcW w:w="2330" w:type="dxa"/>
          </w:tcPr>
          <w:p w:rsidR="00872161" w:rsidRDefault="00872161" w:rsidP="00857A86">
            <w:pPr>
              <w:tabs>
                <w:tab w:val="left" w:pos="-720"/>
              </w:tabs>
              <w:suppressAutoHyphens/>
              <w:ind w:right="47"/>
            </w:pPr>
            <w:r>
              <w:t xml:space="preserve">Consists of a catalog of various phrases for insertion into a general format instruction, such as IDJI 902. These phrases are omitted from the new compilation, as the phrases were either </w:t>
            </w:r>
            <w:proofErr w:type="spellStart"/>
            <w:r>
              <w:t>to</w:t>
            </w:r>
            <w:proofErr w:type="spellEnd"/>
            <w:r>
              <w:t xml:space="preserve"> vague or were fact specific and inappropriate for inclusion in a pattern instruction set.</w:t>
            </w:r>
          </w:p>
        </w:tc>
        <w:tc>
          <w:tcPr>
            <w:tcW w:w="2623" w:type="dxa"/>
          </w:tcPr>
          <w:p w:rsidR="00872161" w:rsidRDefault="00872161" w:rsidP="00857A86">
            <w:pPr>
              <w:tabs>
                <w:tab w:val="left" w:pos="-720"/>
              </w:tabs>
              <w:suppressAutoHyphens/>
              <w:ind w:right="47"/>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918</w:t>
            </w:r>
          </w:p>
        </w:tc>
        <w:tc>
          <w:tcPr>
            <w:tcW w:w="2852" w:type="dxa"/>
          </w:tcPr>
          <w:p w:rsidR="00872161" w:rsidRDefault="00872161" w:rsidP="00857A86">
            <w:pPr>
              <w:tabs>
                <w:tab w:val="left" w:pos="-720"/>
                <w:tab w:val="left" w:pos="0"/>
                <w:tab w:val="left" w:pos="720"/>
              </w:tabs>
              <w:suppressAutoHyphens/>
              <w:spacing w:line="240" w:lineRule="atLeast"/>
              <w:ind w:left="-18" w:right="134"/>
            </w:pPr>
            <w:r>
              <w:t>Elements of damage – business losses</w:t>
            </w:r>
          </w:p>
        </w:tc>
        <w:tc>
          <w:tcPr>
            <w:tcW w:w="2330" w:type="dxa"/>
          </w:tcPr>
          <w:p w:rsidR="00872161" w:rsidRDefault="00872161" w:rsidP="00857A86">
            <w:pPr>
              <w:tabs>
                <w:tab w:val="left" w:pos="-720"/>
              </w:tabs>
              <w:suppressAutoHyphens/>
              <w:ind w:right="47"/>
            </w:pPr>
            <w:r>
              <w:t>Appears to be fact-specific elements extracted from the several cases cited in the comment. In most cases, the elements of damage in a “business loss” case will be fact specific, and therefore inappropriate for compilation in a pattern instruction set.</w:t>
            </w:r>
          </w:p>
        </w:tc>
        <w:tc>
          <w:tcPr>
            <w:tcW w:w="2623" w:type="dxa"/>
          </w:tcPr>
          <w:p w:rsidR="00872161" w:rsidRDefault="00872161" w:rsidP="00857A86">
            <w:pPr>
              <w:tabs>
                <w:tab w:val="left" w:pos="-720"/>
              </w:tabs>
              <w:suppressAutoHyphens/>
              <w:ind w:right="47"/>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934-938</w:t>
            </w:r>
          </w:p>
        </w:tc>
        <w:tc>
          <w:tcPr>
            <w:tcW w:w="2852" w:type="dxa"/>
          </w:tcPr>
          <w:p w:rsidR="00872161" w:rsidRDefault="00872161" w:rsidP="00857A86">
            <w:pPr>
              <w:tabs>
                <w:tab w:val="left" w:pos="-720"/>
                <w:tab w:val="left" w:pos="0"/>
                <w:tab w:val="left" w:pos="720"/>
              </w:tabs>
              <w:suppressAutoHyphens/>
              <w:spacing w:line="240" w:lineRule="atLeast"/>
              <w:ind w:left="-18" w:right="134"/>
            </w:pPr>
            <w:r>
              <w:t>Eliminated</w:t>
            </w:r>
          </w:p>
        </w:tc>
        <w:tc>
          <w:tcPr>
            <w:tcW w:w="2330" w:type="dxa"/>
          </w:tcPr>
          <w:p w:rsidR="00872161" w:rsidRDefault="00872161" w:rsidP="00857A86">
            <w:pPr>
              <w:tabs>
                <w:tab w:val="left" w:pos="-720"/>
              </w:tabs>
              <w:suppressAutoHyphens/>
              <w:ind w:right="47"/>
            </w:pPr>
          </w:p>
        </w:tc>
        <w:tc>
          <w:tcPr>
            <w:tcW w:w="2623" w:type="dxa"/>
          </w:tcPr>
          <w:p w:rsidR="00872161" w:rsidRDefault="00872161" w:rsidP="00857A86">
            <w:pPr>
              <w:tabs>
                <w:tab w:val="left" w:pos="-720"/>
              </w:tabs>
              <w:suppressAutoHyphens/>
              <w:ind w:right="47"/>
            </w:pPr>
          </w:p>
        </w:tc>
      </w:tr>
    </w:tbl>
    <w:p w:rsidR="00872161" w:rsidRDefault="00872161" w:rsidP="008721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852"/>
        <w:gridCol w:w="2330"/>
        <w:gridCol w:w="2623"/>
      </w:tblGrid>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lastRenderedPageBreak/>
              <w:t>919</w:t>
            </w:r>
          </w:p>
        </w:tc>
        <w:tc>
          <w:tcPr>
            <w:tcW w:w="2852" w:type="dxa"/>
          </w:tcPr>
          <w:p w:rsidR="00872161" w:rsidRDefault="00872161" w:rsidP="00857A86">
            <w:pPr>
              <w:tabs>
                <w:tab w:val="left" w:pos="-720"/>
                <w:tab w:val="left" w:pos="0"/>
                <w:tab w:val="left" w:pos="720"/>
              </w:tabs>
              <w:suppressAutoHyphens/>
              <w:spacing w:line="240" w:lineRule="atLeast"/>
              <w:ind w:left="-18" w:right="134"/>
            </w:pPr>
            <w:r>
              <w:t>Elements of damage – fraud</w:t>
            </w:r>
          </w:p>
        </w:tc>
        <w:tc>
          <w:tcPr>
            <w:tcW w:w="2330" w:type="dxa"/>
          </w:tcPr>
          <w:p w:rsidR="00872161" w:rsidRDefault="00872161" w:rsidP="00857A86">
            <w:pPr>
              <w:tabs>
                <w:tab w:val="left" w:pos="-720"/>
              </w:tabs>
              <w:suppressAutoHyphens/>
              <w:ind w:right="47"/>
            </w:pPr>
            <w:r>
              <w:t>Appears to be fact-specific elements extracted from the several cases cited in the comment.  In most cases, the elements of damage in a business fraud case will be fact specific, and therefore inappropriate for compilation in a pattern instruction set.</w:t>
            </w:r>
          </w:p>
        </w:tc>
        <w:tc>
          <w:tcPr>
            <w:tcW w:w="2623" w:type="dxa"/>
          </w:tcPr>
          <w:p w:rsidR="00872161" w:rsidRDefault="00872161" w:rsidP="00857A86">
            <w:pPr>
              <w:tabs>
                <w:tab w:val="left" w:pos="-720"/>
              </w:tabs>
              <w:suppressAutoHyphens/>
              <w:ind w:right="47"/>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940</w:t>
            </w:r>
          </w:p>
        </w:tc>
        <w:tc>
          <w:tcPr>
            <w:tcW w:w="2852" w:type="dxa"/>
          </w:tcPr>
          <w:p w:rsidR="00872161" w:rsidRDefault="00872161" w:rsidP="00857A86">
            <w:pPr>
              <w:tabs>
                <w:tab w:val="left" w:pos="-720"/>
                <w:tab w:val="left" w:pos="0"/>
                <w:tab w:val="left" w:pos="720"/>
              </w:tabs>
              <w:suppressAutoHyphens/>
              <w:spacing w:line="240" w:lineRule="atLeast"/>
              <w:ind w:left="-18" w:right="134"/>
            </w:pPr>
            <w:r>
              <w:t>Previous infirm condition</w:t>
            </w:r>
          </w:p>
        </w:tc>
        <w:tc>
          <w:tcPr>
            <w:tcW w:w="2330" w:type="dxa"/>
          </w:tcPr>
          <w:p w:rsidR="00872161" w:rsidRDefault="00872161" w:rsidP="00857A86">
            <w:pPr>
              <w:tabs>
                <w:tab w:val="left" w:pos="-720"/>
              </w:tabs>
              <w:suppressAutoHyphens/>
              <w:ind w:right="47"/>
            </w:pPr>
            <w:r>
              <w:t>Redundant to the previous instruction as revised</w:t>
            </w:r>
          </w:p>
        </w:tc>
        <w:tc>
          <w:tcPr>
            <w:tcW w:w="2623" w:type="dxa"/>
          </w:tcPr>
          <w:p w:rsidR="00872161" w:rsidRDefault="00872161" w:rsidP="00857A86">
            <w:pPr>
              <w:tabs>
                <w:tab w:val="left" w:pos="-720"/>
              </w:tabs>
              <w:suppressAutoHyphens/>
              <w:ind w:right="47"/>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1008-1015</w:t>
            </w:r>
          </w:p>
        </w:tc>
        <w:tc>
          <w:tcPr>
            <w:tcW w:w="2852" w:type="dxa"/>
          </w:tcPr>
          <w:p w:rsidR="00872161" w:rsidRDefault="00872161" w:rsidP="00857A86">
            <w:pPr>
              <w:tabs>
                <w:tab w:val="left" w:pos="-720"/>
                <w:tab w:val="left" w:pos="0"/>
                <w:tab w:val="left" w:pos="720"/>
              </w:tabs>
              <w:suppressAutoHyphens/>
              <w:spacing w:line="240" w:lineRule="atLeast"/>
              <w:ind w:left="-18" w:right="134"/>
            </w:pPr>
            <w:r>
              <w:t>Products liability – express warranty</w:t>
            </w:r>
          </w:p>
        </w:tc>
        <w:tc>
          <w:tcPr>
            <w:tcW w:w="2330" w:type="dxa"/>
          </w:tcPr>
          <w:p w:rsidR="00872161" w:rsidRDefault="00872161" w:rsidP="00857A86">
            <w:pPr>
              <w:tabs>
                <w:tab w:val="left" w:pos="-720"/>
              </w:tabs>
              <w:suppressAutoHyphens/>
              <w:ind w:right="124"/>
            </w:pPr>
            <w:r>
              <w:t xml:space="preserve">No cause of action in product liability arises under UCC definitions </w:t>
            </w:r>
          </w:p>
        </w:tc>
        <w:tc>
          <w:tcPr>
            <w:tcW w:w="2623" w:type="dxa"/>
          </w:tcPr>
          <w:p w:rsidR="00872161" w:rsidRDefault="00872161" w:rsidP="00857A86">
            <w:pPr>
              <w:tabs>
                <w:tab w:val="left" w:pos="-720"/>
              </w:tabs>
              <w:suppressAutoHyphens/>
              <w:ind w:right="47"/>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1016</w:t>
            </w:r>
          </w:p>
        </w:tc>
        <w:tc>
          <w:tcPr>
            <w:tcW w:w="2852" w:type="dxa"/>
          </w:tcPr>
          <w:p w:rsidR="00872161" w:rsidRDefault="00872161" w:rsidP="00857A86">
            <w:pPr>
              <w:tabs>
                <w:tab w:val="left" w:pos="-720"/>
                <w:tab w:val="left" w:pos="0"/>
                <w:tab w:val="left" w:pos="720"/>
              </w:tabs>
              <w:suppressAutoHyphens/>
              <w:spacing w:line="240" w:lineRule="atLeast"/>
              <w:ind w:left="-18" w:right="134"/>
            </w:pPr>
            <w:r>
              <w:t>Products liability defense</w:t>
            </w:r>
          </w:p>
        </w:tc>
        <w:tc>
          <w:tcPr>
            <w:tcW w:w="2330" w:type="dxa"/>
          </w:tcPr>
          <w:p w:rsidR="00872161" w:rsidRDefault="00872161" w:rsidP="00857A86">
            <w:pPr>
              <w:tabs>
                <w:tab w:val="left" w:pos="-720"/>
              </w:tabs>
              <w:suppressAutoHyphens/>
              <w:ind w:right="124"/>
            </w:pPr>
            <w:r>
              <w:t>Not a correct statement of law</w:t>
            </w:r>
          </w:p>
        </w:tc>
        <w:tc>
          <w:tcPr>
            <w:tcW w:w="2623" w:type="dxa"/>
          </w:tcPr>
          <w:p w:rsidR="00872161" w:rsidRDefault="00872161" w:rsidP="00857A86">
            <w:pPr>
              <w:tabs>
                <w:tab w:val="left" w:pos="-720"/>
              </w:tabs>
              <w:suppressAutoHyphens/>
              <w:ind w:right="47"/>
            </w:pPr>
            <w:r>
              <w:t>Omitted</w:t>
            </w:r>
          </w:p>
        </w:tc>
      </w:tr>
      <w:tr w:rsidR="00872161" w:rsidTr="00857A86">
        <w:tblPrEx>
          <w:tblCellMar>
            <w:top w:w="0" w:type="dxa"/>
            <w:bottom w:w="0" w:type="dxa"/>
          </w:tblCellMar>
        </w:tblPrEx>
        <w:tc>
          <w:tcPr>
            <w:tcW w:w="1008" w:type="dxa"/>
          </w:tcPr>
          <w:p w:rsidR="00872161" w:rsidRDefault="00872161" w:rsidP="00857A86">
            <w:pPr>
              <w:tabs>
                <w:tab w:val="left" w:pos="-720"/>
              </w:tabs>
              <w:suppressAutoHyphens/>
              <w:ind w:right="-18"/>
              <w:jc w:val="both"/>
            </w:pPr>
            <w:r>
              <w:t>1018</w:t>
            </w:r>
          </w:p>
        </w:tc>
        <w:tc>
          <w:tcPr>
            <w:tcW w:w="2852" w:type="dxa"/>
          </w:tcPr>
          <w:p w:rsidR="00872161" w:rsidRDefault="00872161" w:rsidP="00857A86">
            <w:pPr>
              <w:tabs>
                <w:tab w:val="left" w:pos="-720"/>
                <w:tab w:val="left" w:pos="0"/>
                <w:tab w:val="left" w:pos="720"/>
              </w:tabs>
              <w:suppressAutoHyphens/>
              <w:spacing w:line="240" w:lineRule="atLeast"/>
              <w:ind w:left="-18" w:right="134"/>
            </w:pPr>
            <w:r>
              <w:t>Products liability defense – failure to examine</w:t>
            </w:r>
          </w:p>
        </w:tc>
        <w:tc>
          <w:tcPr>
            <w:tcW w:w="2330" w:type="dxa"/>
          </w:tcPr>
          <w:p w:rsidR="00872161" w:rsidRDefault="00872161" w:rsidP="00857A86">
            <w:pPr>
              <w:tabs>
                <w:tab w:val="left" w:pos="-720"/>
              </w:tabs>
              <w:suppressAutoHyphens/>
              <w:ind w:right="124"/>
            </w:pPr>
            <w:r>
              <w:t>UCC contract elements do not apply to product liability</w:t>
            </w:r>
          </w:p>
        </w:tc>
        <w:tc>
          <w:tcPr>
            <w:tcW w:w="2623" w:type="dxa"/>
          </w:tcPr>
          <w:p w:rsidR="00872161" w:rsidRDefault="00872161" w:rsidP="00857A86">
            <w:pPr>
              <w:tabs>
                <w:tab w:val="left" w:pos="-720"/>
              </w:tabs>
              <w:suppressAutoHyphens/>
              <w:ind w:right="47"/>
            </w:pPr>
            <w:r>
              <w:t>Omitted</w:t>
            </w:r>
          </w:p>
        </w:tc>
      </w:tr>
    </w:tbl>
    <w:p w:rsidR="00872161" w:rsidRDefault="00872161" w:rsidP="00872161">
      <w:pPr>
        <w:jc w:val="center"/>
      </w:pPr>
    </w:p>
    <w:p w:rsidR="007A3362" w:rsidRDefault="00872161"/>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61"/>
    <w:rsid w:val="00544374"/>
    <w:rsid w:val="00872161"/>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61"/>
    <w:pPr>
      <w:autoSpaceDE w:val="0"/>
      <w:autoSpaceDN w:val="0"/>
      <w:adjustRightInd w:val="0"/>
      <w:spacing w:after="0" w:line="240" w:lineRule="auto"/>
    </w:pPr>
    <w:rPr>
      <w:rFonts w:ascii="Times New Roman" w:eastAsia="Times New Roman" w:hAnsi="Times New Roman"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161"/>
    <w:pPr>
      <w:autoSpaceDE w:val="0"/>
      <w:autoSpaceDN w:val="0"/>
      <w:adjustRightInd w:val="0"/>
      <w:spacing w:after="0" w:line="240" w:lineRule="auto"/>
    </w:pPr>
    <w:rPr>
      <w:rFonts w:ascii="Times New Roman" w:eastAsia="Times New Roman" w:hAnsi="Times New Roman"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2011-10-26T15:59:00Z</dcterms:created>
  <dcterms:modified xsi:type="dcterms:W3CDTF">2011-10-26T16:01:00Z</dcterms:modified>
</cp:coreProperties>
</file>