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08" w:rsidRDefault="003F4008" w:rsidP="003F4008">
      <w:pPr>
        <w:pStyle w:val="Heading3"/>
      </w:pPr>
      <w:bookmarkStart w:id="0" w:name="_Toc13032061"/>
      <w:bookmarkStart w:id="1" w:name="_Toc34463271"/>
      <w:bookmarkStart w:id="2" w:name="_Toc34463491"/>
      <w:bookmarkStart w:id="3" w:name="_Toc34723732"/>
      <w:bookmarkStart w:id="4" w:name="_Ref35418108"/>
      <w:bookmarkStart w:id="5" w:name="_Toc38700760"/>
      <w:r>
        <w:t>ID</w:t>
      </w:r>
      <w:bookmarkStart w:id="6" w:name="_GoBack"/>
      <w:bookmarkEnd w:id="6"/>
      <w:r>
        <w:t>JI 6.22.1 - Equitable estoppel</w:t>
      </w:r>
      <w:bookmarkEnd w:id="0"/>
      <w:bookmarkEnd w:id="1"/>
      <w:bookmarkEnd w:id="2"/>
      <w:bookmarkEnd w:id="3"/>
      <w:bookmarkEnd w:id="4"/>
      <w:bookmarkEnd w:id="5"/>
    </w:p>
    <w:p w:rsidR="003F4008" w:rsidRDefault="003F4008" w:rsidP="003F4008">
      <w:pPr>
        <w:pStyle w:val="Instructiontitle"/>
      </w:pPr>
      <w:proofErr w:type="gramStart"/>
      <w:r>
        <w:t>INSTRUCTION NO.</w:t>
      </w:r>
      <w:proofErr w:type="gramEnd"/>
      <w:r>
        <w:t xml:space="preserve"> ___</w:t>
      </w:r>
    </w:p>
    <w:p w:rsidR="003F4008" w:rsidRDefault="003F4008" w:rsidP="003F4008">
      <w:pPr>
        <w:pStyle w:val="Instruction"/>
      </w:pPr>
      <w:r>
        <w:tab/>
        <w:t>The defendant has asserted the affirmative defense of equitable estoppel.  This is a legal term which means the plaintiff may be prevented from enforcing a contract or term of contract by reason of the plaintiff's own conduct.</w:t>
      </w:r>
    </w:p>
    <w:p w:rsidR="003F4008" w:rsidRDefault="003F4008" w:rsidP="003F4008">
      <w:pPr>
        <w:pStyle w:val="Instruction"/>
      </w:pPr>
      <w:r>
        <w:tab/>
        <w:t>To establish the defense of equitable estoppel, the defendant has the burden of proof on each of the following propositions:</w:t>
      </w:r>
    </w:p>
    <w:p w:rsidR="003F4008" w:rsidRDefault="003F4008" w:rsidP="003F4008">
      <w:pPr>
        <w:pStyle w:val="Instruction"/>
      </w:pPr>
      <w:r>
        <w:tab/>
        <w:t>1.</w:t>
      </w:r>
      <w:r>
        <w:tab/>
        <w:t xml:space="preserve">The plaintiff falsely represented or concealed a material fact to the defendant; </w:t>
      </w:r>
    </w:p>
    <w:p w:rsidR="003F4008" w:rsidRDefault="003F4008" w:rsidP="003F4008">
      <w:pPr>
        <w:pStyle w:val="Instruction"/>
      </w:pPr>
      <w:r>
        <w:tab/>
        <w:t>2.</w:t>
      </w:r>
      <w:r>
        <w:tab/>
        <w:t>The plaintiff knew or should have known the true facts;</w:t>
      </w:r>
    </w:p>
    <w:p w:rsidR="003F4008" w:rsidRDefault="003F4008" w:rsidP="003F4008">
      <w:pPr>
        <w:pStyle w:val="Instruction"/>
      </w:pPr>
      <w:r>
        <w:tab/>
        <w:t>3.</w:t>
      </w:r>
      <w:r>
        <w:tab/>
        <w:t>The defendant did not know and could not discover the true facts;</w:t>
      </w:r>
    </w:p>
    <w:p w:rsidR="003F4008" w:rsidRDefault="003F4008" w:rsidP="003F4008">
      <w:pPr>
        <w:pStyle w:val="Instruction"/>
      </w:pPr>
      <w:r>
        <w:tab/>
        <w:t>4.</w:t>
      </w:r>
      <w:r>
        <w:tab/>
        <w:t>The defendant relied on the misrepresentation or concealment to the defendant's prejudice.</w:t>
      </w:r>
    </w:p>
    <w:p w:rsidR="003F4008" w:rsidRDefault="003F4008" w:rsidP="003F4008">
      <w:r>
        <w:t>Comment:</w:t>
      </w:r>
    </w:p>
    <w:p w:rsidR="003F4008" w:rsidRDefault="003F4008" w:rsidP="003F4008">
      <w:pPr>
        <w:tabs>
          <w:tab w:val="left" w:pos="-720"/>
        </w:tabs>
        <w:suppressAutoHyphens/>
        <w:jc w:val="both"/>
      </w:pPr>
      <w:r>
        <w:rPr>
          <w:i/>
          <w:iCs/>
          <w:spacing w:val="-3"/>
        </w:rPr>
        <w:tab/>
      </w:r>
      <w:proofErr w:type="spellStart"/>
      <w:r>
        <w:rPr>
          <w:spacing w:val="-3"/>
          <w:u w:val="single"/>
        </w:rPr>
        <w:t>Willig</w:t>
      </w:r>
      <w:proofErr w:type="spellEnd"/>
      <w:r>
        <w:rPr>
          <w:spacing w:val="-3"/>
          <w:u w:val="single"/>
        </w:rPr>
        <w:t xml:space="preserve"> v. Dept. of Health &amp; Welfare</w:t>
      </w:r>
      <w:r>
        <w:rPr>
          <w:spacing w:val="-3"/>
        </w:rPr>
        <w:t xml:space="preserve">, 127 Idaho 259, 261 (1995); </w:t>
      </w:r>
      <w:r>
        <w:rPr>
          <w:spacing w:val="-3"/>
          <w:u w:val="single"/>
        </w:rPr>
        <w:t>Medical Serv. Group v. Boise Lodge</w:t>
      </w:r>
      <w:proofErr w:type="gramStart"/>
      <w:r>
        <w:rPr>
          <w:spacing w:val="-3"/>
        </w:rPr>
        <w:t>,310</w:t>
      </w:r>
      <w:proofErr w:type="gramEnd"/>
      <w:r>
        <w:rPr>
          <w:spacing w:val="-3"/>
        </w:rPr>
        <w:t xml:space="preserve">, 126 Idaho 90, 95 (1994 Ct. App.); </w:t>
      </w:r>
      <w:proofErr w:type="spellStart"/>
      <w:r>
        <w:rPr>
          <w:spacing w:val="-3"/>
          <w:u w:val="single"/>
        </w:rPr>
        <w:t>Tommerup</w:t>
      </w:r>
      <w:proofErr w:type="spellEnd"/>
      <w:r>
        <w:rPr>
          <w:spacing w:val="-3"/>
          <w:u w:val="single"/>
        </w:rPr>
        <w:t xml:space="preserve"> v. Albertson's, Inc</w:t>
      </w:r>
      <w:r>
        <w:rPr>
          <w:spacing w:val="-3"/>
        </w:rPr>
        <w:t>., 101 Idaho 1, 5-6 (1980</w:t>
      </w:r>
      <w:r>
        <w:rPr>
          <w:i/>
          <w:iCs/>
          <w:spacing w:val="-3"/>
        </w:rPr>
        <w:t xml:space="preserve">); </w:t>
      </w:r>
      <w:proofErr w:type="spellStart"/>
      <w:r>
        <w:rPr>
          <w:spacing w:val="-3"/>
          <w:u w:val="single"/>
        </w:rPr>
        <w:t>Bjornstad</w:t>
      </w:r>
      <w:proofErr w:type="spellEnd"/>
      <w:r>
        <w:rPr>
          <w:spacing w:val="-3"/>
          <w:u w:val="single"/>
        </w:rPr>
        <w:t xml:space="preserve"> v. Perry</w:t>
      </w:r>
      <w:r>
        <w:rPr>
          <w:spacing w:val="-3"/>
        </w:rPr>
        <w:t xml:space="preserve">, 92 Idaho 402 (1968). Quasi-estoppel; </w:t>
      </w:r>
      <w:r>
        <w:t xml:space="preserve">Quasi estoppel is distinguished from equitable estoppel in that no concealment or misrepresentation of existing facts on the one side, no ignorance or reliance on the other, is a necessary ingredient.  The doctrine of quasi estoppel applies when it would be unconscionable to allow a party to assert a right which is inconsistent with a prior position.  </w:t>
      </w:r>
      <w:proofErr w:type="spellStart"/>
      <w:proofErr w:type="gramStart"/>
      <w:r>
        <w:rPr>
          <w:u w:val="single"/>
        </w:rPr>
        <w:t>Willig</w:t>
      </w:r>
      <w:proofErr w:type="spellEnd"/>
      <w:r>
        <w:rPr>
          <w:u w:val="single"/>
        </w:rPr>
        <w:t xml:space="preserve"> v. State Dept. of Health &amp; Welfare</w:t>
      </w:r>
      <w:r>
        <w:t>, 127 Idaho 259, 261 (1995).</w:t>
      </w:r>
      <w:proofErr w:type="gramEnd"/>
      <w:r>
        <w:t xml:space="preserve">  Determination of the application of the doctrine of quasi estoppel is an equitable issue for the court to determine, and not a jury issue.  The jury may be asked to determine the existence of predicate facts, but would not be instructed on the application of the doctrine.</w:t>
      </w:r>
    </w:p>
    <w:p w:rsidR="007A3362" w:rsidRDefault="003F4008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08"/>
    <w:rsid w:val="003F4008"/>
    <w:rsid w:val="00544374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F4008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F4008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3F4008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3F4008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F4008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F4008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3F4008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3F4008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2011-11-01T20:05:00Z</dcterms:created>
  <dcterms:modified xsi:type="dcterms:W3CDTF">2011-11-01T20:05:00Z</dcterms:modified>
</cp:coreProperties>
</file>