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4E" w:rsidRDefault="0008204E" w:rsidP="0008204E">
      <w:pPr>
        <w:pStyle w:val="Heading3"/>
      </w:pPr>
      <w:bookmarkStart w:id="0" w:name="_Toc13031970"/>
      <w:bookmarkStart w:id="1" w:name="_Toc34463178"/>
      <w:bookmarkStart w:id="2" w:name="_Toc34463398"/>
      <w:bookmarkStart w:id="3" w:name="_Toc34723639"/>
      <w:bookmarkStart w:id="4" w:name="_Ref34727197"/>
      <w:bookmarkStart w:id="5" w:name="_Toc38700668"/>
      <w:r>
        <w:t>IDJI 2.12.</w:t>
      </w:r>
      <w:bookmarkStart w:id="6" w:name="_GoBack"/>
      <w:bookmarkEnd w:id="6"/>
      <w:r>
        <w:t>9 – Charging instruction – defense of emergency exception</w:t>
      </w:r>
      <w:bookmarkEnd w:id="0"/>
      <w:bookmarkEnd w:id="1"/>
      <w:bookmarkEnd w:id="2"/>
      <w:bookmarkEnd w:id="3"/>
      <w:bookmarkEnd w:id="4"/>
      <w:bookmarkEnd w:id="5"/>
    </w:p>
    <w:p w:rsidR="0008204E" w:rsidRDefault="0008204E" w:rsidP="0008204E">
      <w:pPr>
        <w:jc w:val="both"/>
      </w:pPr>
    </w:p>
    <w:p w:rsidR="0008204E" w:rsidRDefault="0008204E" w:rsidP="0008204E">
      <w:pPr>
        <w:pStyle w:val="Instructiontitle"/>
      </w:pPr>
      <w:proofErr w:type="gramStart"/>
      <w:r>
        <w:t>INSTRUCTION NO.</w:t>
      </w:r>
      <w:proofErr w:type="gramEnd"/>
      <w:r>
        <w:t xml:space="preserve"> ___</w:t>
      </w:r>
    </w:p>
    <w:p w:rsidR="0008204E" w:rsidRDefault="0008204E" w:rsidP="0008204E">
      <w:pPr>
        <w:pStyle w:val="Instruction"/>
      </w:pPr>
      <w:r>
        <w:tab/>
        <w:t xml:space="preserve">On defendant's affirmative defense that an emergency situation existed, excusing defendant from obtaining </w:t>
      </w:r>
      <w:proofErr w:type="gramStart"/>
      <w:r>
        <w:t>a consent</w:t>
      </w:r>
      <w:proofErr w:type="gramEnd"/>
      <w:r>
        <w:t xml:space="preserve"> before treatment, the defendant has the burden of proof on each of the following propositions:</w:t>
      </w:r>
    </w:p>
    <w:p w:rsidR="0008204E" w:rsidRDefault="0008204E" w:rsidP="0008204E">
      <w:pPr>
        <w:pStyle w:val="Instruction"/>
        <w:rPr>
          <w:bCs/>
        </w:rPr>
      </w:pPr>
      <w:r>
        <w:rPr>
          <w:bCs/>
        </w:rPr>
        <w:tab/>
        <w:t>1.</w:t>
      </w:r>
      <w:r>
        <w:rPr>
          <w:bCs/>
        </w:rPr>
        <w:tab/>
        <w:t>The patient was incapacitated, or was a minor, and was therefore incapable of providing a valid consent; and</w:t>
      </w:r>
    </w:p>
    <w:p w:rsidR="0008204E" w:rsidRDefault="0008204E" w:rsidP="0008204E">
      <w:pPr>
        <w:pStyle w:val="Instruction"/>
        <w:rPr>
          <w:bCs/>
        </w:rPr>
      </w:pPr>
      <w:r>
        <w:rPr>
          <w:bCs/>
        </w:rPr>
        <w:tab/>
        <w:t>2.</w:t>
      </w:r>
      <w:r>
        <w:rPr>
          <w:bCs/>
        </w:rPr>
        <w:tab/>
        <w:t>There was no one else available who could have provided a valid consent; and</w:t>
      </w:r>
    </w:p>
    <w:p w:rsidR="0008204E" w:rsidRDefault="0008204E" w:rsidP="0008204E">
      <w:pPr>
        <w:pStyle w:val="Instruction"/>
        <w:rPr>
          <w:bCs/>
        </w:rPr>
      </w:pPr>
      <w:r>
        <w:rPr>
          <w:bCs/>
        </w:rPr>
        <w:tab/>
        <w:t>3.</w:t>
      </w:r>
      <w:r>
        <w:rPr>
          <w:bCs/>
        </w:rPr>
        <w:tab/>
        <w:t>The circumstances presented a medical emergency or a substantial likelihood that the patient's life or health would be seriously endangered by a delay in treatment.</w:t>
      </w:r>
    </w:p>
    <w:p w:rsidR="0008204E" w:rsidRDefault="0008204E" w:rsidP="0008204E">
      <w:pPr>
        <w:tabs>
          <w:tab w:val="left" w:pos="-720"/>
        </w:tabs>
        <w:suppressAutoHyphens/>
        <w:spacing w:line="480" w:lineRule="atLeast"/>
        <w:jc w:val="both"/>
      </w:pPr>
    </w:p>
    <w:p w:rsidR="0008204E" w:rsidRDefault="0008204E" w:rsidP="0008204E">
      <w:pPr>
        <w:tabs>
          <w:tab w:val="left" w:pos="-720"/>
        </w:tabs>
        <w:suppressAutoHyphens/>
        <w:spacing w:line="480" w:lineRule="atLeast"/>
        <w:jc w:val="both"/>
      </w:pPr>
    </w:p>
    <w:p w:rsidR="0008204E" w:rsidRDefault="0008204E" w:rsidP="0008204E">
      <w:pPr>
        <w:tabs>
          <w:tab w:val="left" w:pos="-720"/>
        </w:tabs>
        <w:suppressAutoHyphens/>
        <w:spacing w:line="240" w:lineRule="atLeast"/>
        <w:jc w:val="both"/>
      </w:pPr>
      <w:r>
        <w:t xml:space="preserve">Comment:  </w:t>
      </w:r>
    </w:p>
    <w:p w:rsidR="0008204E" w:rsidRDefault="0008204E" w:rsidP="0008204E">
      <w:pPr>
        <w:tabs>
          <w:tab w:val="left" w:pos="-720"/>
        </w:tabs>
        <w:suppressAutoHyphens/>
        <w:spacing w:line="240" w:lineRule="atLeast"/>
        <w:jc w:val="both"/>
      </w:pPr>
      <w:r>
        <w:tab/>
      </w:r>
      <w:r>
        <w:rPr>
          <w:i/>
          <w:iCs/>
        </w:rPr>
        <w:t>See</w:t>
      </w:r>
      <w:r>
        <w:t xml:space="preserve"> Idaho Code § 39-4301 et seq</w:t>
      </w:r>
      <w:r>
        <w:rPr>
          <w:i/>
          <w:iCs/>
        </w:rPr>
        <w:t xml:space="preserve">.; </w:t>
      </w:r>
      <w:r>
        <w:rPr>
          <w:u w:val="single"/>
        </w:rPr>
        <w:t>Sherwood v. Carter</w:t>
      </w:r>
      <w:r>
        <w:t xml:space="preserve">, 119 Idaho 246, 805P.2d 452 (1991); </w:t>
      </w:r>
      <w:r>
        <w:rPr>
          <w:u w:val="single"/>
        </w:rPr>
        <w:t>Rook v. Trout</w:t>
      </w:r>
      <w:r>
        <w:t>, 113 Idaho 652, 747 P.2d 61 (1987).</w:t>
      </w:r>
    </w:p>
    <w:p w:rsidR="007A3362" w:rsidRDefault="0008204E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4E"/>
    <w:rsid w:val="0008204E"/>
    <w:rsid w:val="00544374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0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8204E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8204E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08204E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08204E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0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8204E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8204E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08204E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08204E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2011-10-28T21:39:00Z</dcterms:created>
  <dcterms:modified xsi:type="dcterms:W3CDTF">2011-10-28T21:39:00Z</dcterms:modified>
</cp:coreProperties>
</file>